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一、石家庄市藁城区应急管理局本级收支预算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一、石家庄市藁城区应急管理局本级收支预算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1123.49</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109.83</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41.78</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50.31</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r>
              <w:t>1094.37</w:t>
            </w: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1123.49</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1296.30</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r>
              <w:t>172.81</w:t>
            </w: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1296.30</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1296.30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1296.30</w:t>
            </w:r>
          </w:p>
        </w:tc>
        <w:tc>
          <w:tcPr>
            <w:tcW w:w="1134" w:type="dxa"/>
            <w:tcBorders>
              <w:left w:val="single" w:sz="6" w:space="0" w:color="auto"/>
            </w:tcBorders>
            <w:vAlign w:val="center"/>
          </w:tcPr>
          <w:p>
            <w:pPr>
              <w:pStyle w:val="23"/>
            </w:pPr>
            <w:r>
              <w:t>1123.49</w:t>
            </w:r>
          </w:p>
        </w:tc>
        <w:tc>
          <w:tcPr>
            <w:tcW w:w="1134" w:type="dxa"/>
            <w:tcBorders>
              <w:left w:val="single" w:sz="6" w:space="0" w:color="auto"/>
            </w:tcBorders>
            <w:vAlign w:val="center"/>
          </w:tcPr>
          <w:p>
            <w:pPr>
              <w:pStyle w:val="23"/>
            </w:pPr>
            <w:r>
              <w:t>1123.49</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r>
              <w:t>172.81</w:t>
            </w: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2080501</w:t>
            </w:r>
          </w:p>
        </w:tc>
        <w:tc>
          <w:tcPr>
            <w:tcW w:w="1559" w:type="dxa"/>
            <w:tcBorders>
              <w:left w:val="single" w:sz="6" w:space="0" w:color="auto"/>
            </w:tcBorders>
            <w:vAlign w:val="center"/>
          </w:tcPr>
          <w:p>
            <w:pPr>
              <w:pStyle w:val="20"/>
            </w:pPr>
            <w:r>
              <w:t>行政单位离退休</w:t>
            </w:r>
          </w:p>
        </w:tc>
        <w:tc>
          <w:tcPr>
            <w:tcW w:w="1134" w:type="dxa"/>
            <w:tcBorders>
              <w:left w:val="single" w:sz="6" w:space="0" w:color="auto"/>
            </w:tcBorders>
            <w:vAlign w:val="center"/>
          </w:tcPr>
          <w:p>
            <w:pPr>
              <w:pStyle w:val="19"/>
            </w:pPr>
            <w:r>
              <w:t>41.41</w:t>
            </w:r>
          </w:p>
        </w:tc>
        <w:tc>
          <w:tcPr>
            <w:tcW w:w="1134" w:type="dxa"/>
            <w:tcBorders>
              <w:left w:val="single" w:sz="6" w:space="0" w:color="auto"/>
            </w:tcBorders>
            <w:vAlign w:val="center"/>
          </w:tcPr>
          <w:p>
            <w:pPr>
              <w:pStyle w:val="19"/>
            </w:pPr>
            <w:r>
              <w:t>41.41</w:t>
            </w:r>
          </w:p>
        </w:tc>
        <w:tc>
          <w:tcPr>
            <w:tcW w:w="1134" w:type="dxa"/>
            <w:tcBorders>
              <w:left w:val="single" w:sz="6" w:space="0" w:color="auto"/>
            </w:tcBorders>
            <w:vAlign w:val="center"/>
          </w:tcPr>
          <w:p>
            <w:pPr>
              <w:pStyle w:val="19"/>
            </w:pPr>
            <w:r>
              <w:t>41.41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68.42</w:t>
            </w:r>
          </w:p>
        </w:tc>
        <w:tc>
          <w:tcPr>
            <w:tcW w:w="1134" w:type="dxa"/>
            <w:tcBorders>
              <w:left w:val="single" w:sz="6" w:space="0" w:color="auto"/>
            </w:tcBorders>
            <w:vAlign w:val="center"/>
          </w:tcPr>
          <w:p>
            <w:pPr>
              <w:pStyle w:val="19"/>
            </w:pPr>
            <w:r>
              <w:t>68.42</w:t>
            </w:r>
          </w:p>
        </w:tc>
        <w:tc>
          <w:tcPr>
            <w:tcW w:w="1134" w:type="dxa"/>
            <w:tcBorders>
              <w:left w:val="single" w:sz="6" w:space="0" w:color="auto"/>
            </w:tcBorders>
            <w:vAlign w:val="center"/>
          </w:tcPr>
          <w:p>
            <w:pPr>
              <w:pStyle w:val="19"/>
            </w:pPr>
            <w:r>
              <w:t>68.42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23.56</w:t>
            </w:r>
          </w:p>
        </w:tc>
        <w:tc>
          <w:tcPr>
            <w:tcW w:w="1134" w:type="dxa"/>
            <w:tcBorders>
              <w:left w:val="single" w:sz="6" w:space="0" w:color="auto"/>
            </w:tcBorders>
            <w:vAlign w:val="center"/>
          </w:tcPr>
          <w:p>
            <w:pPr>
              <w:pStyle w:val="19"/>
            </w:pPr>
            <w:r>
              <w:t>23.56</w:t>
            </w:r>
          </w:p>
        </w:tc>
        <w:tc>
          <w:tcPr>
            <w:tcW w:w="1134" w:type="dxa"/>
            <w:tcBorders>
              <w:left w:val="single" w:sz="6" w:space="0" w:color="auto"/>
            </w:tcBorders>
            <w:vAlign w:val="center"/>
          </w:tcPr>
          <w:p>
            <w:pPr>
              <w:pStyle w:val="19"/>
            </w:pPr>
            <w:r>
              <w:t>23.56</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18.23</w:t>
            </w:r>
          </w:p>
        </w:tc>
        <w:tc>
          <w:tcPr>
            <w:tcW w:w="1134" w:type="dxa"/>
            <w:tcBorders>
              <w:left w:val="single" w:sz="6" w:space="0" w:color="auto"/>
            </w:tcBorders>
            <w:vAlign w:val="center"/>
          </w:tcPr>
          <w:p>
            <w:pPr>
              <w:pStyle w:val="19"/>
            </w:pPr>
            <w:r>
              <w:t>18.23</w:t>
            </w:r>
          </w:p>
        </w:tc>
        <w:tc>
          <w:tcPr>
            <w:tcW w:w="1134" w:type="dxa"/>
            <w:tcBorders>
              <w:left w:val="single" w:sz="6" w:space="0" w:color="auto"/>
            </w:tcBorders>
            <w:vAlign w:val="center"/>
          </w:tcPr>
          <w:p>
            <w:pPr>
              <w:pStyle w:val="19"/>
            </w:pPr>
            <w:r>
              <w:t>18.23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224</w:t>
            </w:r>
          </w:p>
        </w:tc>
        <w:tc>
          <w:tcPr>
            <w:tcW w:w="1559" w:type="dxa"/>
            <w:tcBorders>
              <w:left w:val="single" w:sz="6" w:space="0" w:color="auto"/>
            </w:tcBorders>
            <w:vAlign w:val="center"/>
          </w:tcPr>
          <w:p>
            <w:pPr>
              <w:pStyle w:val="20"/>
            </w:pPr>
            <w:r>
              <w:t>灾害防治及应急管理支出</w:t>
            </w:r>
          </w:p>
        </w:tc>
        <w:tc>
          <w:tcPr>
            <w:tcW w:w="1134" w:type="dxa"/>
            <w:tcBorders>
              <w:left w:val="single" w:sz="6" w:space="0" w:color="auto"/>
            </w:tcBorders>
            <w:vAlign w:val="center"/>
          </w:tcPr>
          <w:p>
            <w:pPr>
              <w:pStyle w:val="19"/>
            </w:pPr>
            <w:r>
              <w:t>1094.37</w:t>
            </w:r>
          </w:p>
        </w:tc>
        <w:tc>
          <w:tcPr>
            <w:tcW w:w="1134" w:type="dxa"/>
            <w:tcBorders>
              <w:left w:val="single" w:sz="6" w:space="0" w:color="auto"/>
            </w:tcBorders>
            <w:vAlign w:val="center"/>
          </w:tcPr>
          <w:p>
            <w:pPr>
              <w:pStyle w:val="19"/>
            </w:pPr>
            <w:r>
              <w:t>921.56</w:t>
            </w:r>
          </w:p>
        </w:tc>
        <w:tc>
          <w:tcPr>
            <w:tcW w:w="1134" w:type="dxa"/>
            <w:tcBorders>
              <w:left w:val="single" w:sz="6" w:space="0" w:color="auto"/>
            </w:tcBorders>
            <w:vAlign w:val="center"/>
          </w:tcPr>
          <w:p>
            <w:pPr>
              <w:pStyle w:val="19"/>
            </w:pPr>
            <w:r>
              <w:t>921.56</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172.81</w:t>
            </w: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22401</w:t>
            </w:r>
          </w:p>
        </w:tc>
        <w:tc>
          <w:tcPr>
            <w:tcW w:w="1559" w:type="dxa"/>
            <w:tcBorders>
              <w:left w:val="single" w:sz="6" w:space="0" w:color="auto"/>
            </w:tcBorders>
            <w:vAlign w:val="center"/>
          </w:tcPr>
          <w:p>
            <w:pPr>
              <w:pStyle w:val="20"/>
            </w:pPr>
            <w:r>
              <w:t>应急管理事务</w:t>
            </w:r>
          </w:p>
        </w:tc>
        <w:tc>
          <w:tcPr>
            <w:tcW w:w="1134" w:type="dxa"/>
            <w:tcBorders>
              <w:left w:val="single" w:sz="6" w:space="0" w:color="auto"/>
            </w:tcBorders>
            <w:vAlign w:val="center"/>
          </w:tcPr>
          <w:p>
            <w:pPr>
              <w:pStyle w:val="19"/>
            </w:pPr>
            <w:r>
              <w:t>823.24</w:t>
            </w:r>
          </w:p>
        </w:tc>
        <w:tc>
          <w:tcPr>
            <w:tcW w:w="1134" w:type="dxa"/>
            <w:tcBorders>
              <w:left w:val="single" w:sz="6" w:space="0" w:color="auto"/>
            </w:tcBorders>
            <w:vAlign w:val="center"/>
          </w:tcPr>
          <w:p>
            <w:pPr>
              <w:pStyle w:val="19"/>
            </w:pPr>
            <w:r>
              <w:t>769.95</w:t>
            </w:r>
          </w:p>
        </w:tc>
        <w:tc>
          <w:tcPr>
            <w:tcW w:w="1134" w:type="dxa"/>
            <w:tcBorders>
              <w:left w:val="single" w:sz="6" w:space="0" w:color="auto"/>
            </w:tcBorders>
            <w:vAlign w:val="center"/>
          </w:tcPr>
          <w:p>
            <w:pPr>
              <w:pStyle w:val="19"/>
            </w:pPr>
            <w:r>
              <w:t>769.95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53.29</w:t>
            </w: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2240101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759.95</w:t>
            </w:r>
          </w:p>
        </w:tc>
        <w:tc>
          <w:tcPr>
            <w:tcW w:w="1134" w:type="dxa"/>
            <w:tcBorders>
              <w:left w:val="single" w:sz="6" w:space="0" w:color="auto"/>
            </w:tcBorders>
            <w:vAlign w:val="center"/>
          </w:tcPr>
          <w:p>
            <w:pPr>
              <w:pStyle w:val="19"/>
            </w:pPr>
            <w:r>
              <w:t>759.95</w:t>
            </w:r>
          </w:p>
        </w:tc>
        <w:tc>
          <w:tcPr>
            <w:tcW w:w="1134" w:type="dxa"/>
            <w:tcBorders>
              <w:left w:val="single" w:sz="6" w:space="0" w:color="auto"/>
            </w:tcBorders>
            <w:vAlign w:val="center"/>
          </w:tcPr>
          <w:p>
            <w:pPr>
              <w:pStyle w:val="19"/>
            </w:pPr>
            <w:r>
              <w:t>759.95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2240104</w:t>
            </w:r>
          </w:p>
        </w:tc>
        <w:tc>
          <w:tcPr>
            <w:tcW w:w="1559" w:type="dxa"/>
            <w:tcBorders>
              <w:left w:val="single" w:sz="6" w:space="0" w:color="auto"/>
            </w:tcBorders>
            <w:vAlign w:val="center"/>
          </w:tcPr>
          <w:p>
            <w:pPr>
              <w:pStyle w:val="20"/>
            </w:pPr>
            <w:r>
              <w:t>灾害风险防治</w:t>
            </w:r>
          </w:p>
        </w:tc>
        <w:tc>
          <w:tcPr>
            <w:tcW w:w="1134" w:type="dxa"/>
            <w:tcBorders>
              <w:left w:val="single" w:sz="6" w:space="0" w:color="auto"/>
            </w:tcBorders>
            <w:vAlign w:val="center"/>
          </w:tcPr>
          <w:p>
            <w:pPr>
              <w:pStyle w:val="19"/>
            </w:pPr>
            <w:r>
              <w:t>10.00</w:t>
            </w:r>
          </w:p>
        </w:tc>
        <w:tc>
          <w:tcPr>
            <w:tcW w:w="1134" w:type="dxa"/>
            <w:tcBorders>
              <w:left w:val="single" w:sz="6" w:space="0" w:color="auto"/>
            </w:tcBorders>
            <w:vAlign w:val="center"/>
          </w:tcPr>
          <w:p>
            <w:pPr>
              <w:pStyle w:val="19"/>
            </w:pPr>
            <w:r>
              <w:t>10.00</w:t>
            </w:r>
          </w:p>
        </w:tc>
        <w:tc>
          <w:tcPr>
            <w:tcW w:w="1134" w:type="dxa"/>
            <w:tcBorders>
              <w:left w:val="single" w:sz="6" w:space="0" w:color="auto"/>
            </w:tcBorders>
            <w:vAlign w:val="center"/>
          </w:tcPr>
          <w:p>
            <w:pPr>
              <w:pStyle w:val="19"/>
            </w:pPr>
            <w:r>
              <w:t>10.00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2240108</w:t>
            </w:r>
          </w:p>
        </w:tc>
        <w:tc>
          <w:tcPr>
            <w:tcW w:w="1559" w:type="dxa"/>
            <w:tcBorders>
              <w:left w:val="single" w:sz="6" w:space="0" w:color="auto"/>
            </w:tcBorders>
            <w:vAlign w:val="center"/>
          </w:tcPr>
          <w:p>
            <w:pPr>
              <w:pStyle w:val="20"/>
            </w:pPr>
            <w:r>
              <w:t>应急救援</w:t>
            </w:r>
          </w:p>
        </w:tc>
        <w:tc>
          <w:tcPr>
            <w:tcW w:w="1134" w:type="dxa"/>
            <w:tcBorders>
              <w:left w:val="single" w:sz="6" w:space="0" w:color="auto"/>
            </w:tcBorders>
            <w:vAlign w:val="center"/>
          </w:tcPr>
          <w:p>
            <w:pPr>
              <w:pStyle w:val="19"/>
            </w:pPr>
            <w:r>
              <w:t>53.29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53.29</w:t>
            </w: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22405</w:t>
            </w:r>
          </w:p>
        </w:tc>
        <w:tc>
          <w:tcPr>
            <w:tcW w:w="1559" w:type="dxa"/>
            <w:tcBorders>
              <w:left w:val="single" w:sz="6" w:space="0" w:color="auto"/>
            </w:tcBorders>
            <w:vAlign w:val="center"/>
          </w:tcPr>
          <w:p>
            <w:pPr>
              <w:pStyle w:val="20"/>
            </w:pPr>
            <w:r>
              <w:t>地震事务</w:t>
            </w:r>
          </w:p>
        </w:tc>
        <w:tc>
          <w:tcPr>
            <w:tcW w:w="1134" w:type="dxa"/>
            <w:tcBorders>
              <w:left w:val="single" w:sz="6" w:space="0" w:color="auto"/>
            </w:tcBorders>
            <w:vAlign w:val="center"/>
          </w:tcPr>
          <w:p>
            <w:pPr>
              <w:pStyle w:val="19"/>
            </w:pPr>
            <w:r>
              <w:t>2.60</w:t>
            </w:r>
          </w:p>
        </w:tc>
        <w:tc>
          <w:tcPr>
            <w:tcW w:w="1134" w:type="dxa"/>
            <w:tcBorders>
              <w:left w:val="single" w:sz="6" w:space="0" w:color="auto"/>
            </w:tcBorders>
            <w:vAlign w:val="center"/>
          </w:tcPr>
          <w:p>
            <w:pPr>
              <w:pStyle w:val="19"/>
            </w:pPr>
            <w:r>
              <w:t>2.60</w:t>
            </w:r>
          </w:p>
        </w:tc>
        <w:tc>
          <w:tcPr>
            <w:tcW w:w="1134" w:type="dxa"/>
            <w:tcBorders>
              <w:left w:val="single" w:sz="6" w:space="0" w:color="auto"/>
            </w:tcBorders>
            <w:vAlign w:val="center"/>
          </w:tcPr>
          <w:p>
            <w:pPr>
              <w:pStyle w:val="19"/>
            </w:pPr>
            <w:r>
              <w:t>2.60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auto"/>
            </w:tcBorders>
            <w:vAlign w:val="center"/>
          </w:tcPr>
          <w:p>
            <w:pPr>
              <w:pStyle w:val="20"/>
            </w:pPr>
            <w:r>
              <w:t>2240504</w:t>
            </w:r>
          </w:p>
        </w:tc>
        <w:tc>
          <w:tcPr>
            <w:tcW w:w="1559" w:type="dxa"/>
            <w:tcBorders>
              <w:left w:val="single" w:sz="6" w:space="0" w:color="auto"/>
            </w:tcBorders>
            <w:vAlign w:val="center"/>
          </w:tcPr>
          <w:p>
            <w:pPr>
              <w:pStyle w:val="20"/>
            </w:pPr>
            <w:r>
              <w:t>地震监测</w:t>
            </w:r>
          </w:p>
        </w:tc>
        <w:tc>
          <w:tcPr>
            <w:tcW w:w="1134" w:type="dxa"/>
            <w:tcBorders>
              <w:left w:val="single" w:sz="6" w:space="0" w:color="auto"/>
            </w:tcBorders>
            <w:vAlign w:val="center"/>
          </w:tcPr>
          <w:p>
            <w:pPr>
              <w:pStyle w:val="19"/>
            </w:pPr>
            <w:r>
              <w:t>0.80</w:t>
            </w:r>
          </w:p>
        </w:tc>
        <w:tc>
          <w:tcPr>
            <w:tcW w:w="1134" w:type="dxa"/>
            <w:tcBorders>
              <w:left w:val="single" w:sz="6" w:space="0" w:color="auto"/>
            </w:tcBorders>
            <w:vAlign w:val="center"/>
          </w:tcPr>
          <w:p>
            <w:pPr>
              <w:pStyle w:val="19"/>
            </w:pPr>
            <w:r>
              <w:t>0.80</w:t>
            </w:r>
          </w:p>
        </w:tc>
        <w:tc>
          <w:tcPr>
            <w:tcW w:w="1134" w:type="dxa"/>
            <w:tcBorders>
              <w:left w:val="single" w:sz="6" w:space="0" w:color="auto"/>
            </w:tcBorders>
            <w:vAlign w:val="center"/>
          </w:tcPr>
          <w:p>
            <w:pPr>
              <w:pStyle w:val="19"/>
            </w:pPr>
            <w:r>
              <w:t>0.80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20</w:t>
            </w:r>
          </w:p>
        </w:tc>
        <w:tc>
          <w:tcPr>
            <w:tcW w:w="992" w:type="dxa"/>
            <w:tcBorders>
              <w:left w:val="single" w:sz="6" w:space="0" w:color="auto"/>
            </w:tcBorders>
            <w:vAlign w:val="center"/>
          </w:tcPr>
          <w:p>
            <w:pPr>
              <w:pStyle w:val="20"/>
            </w:pPr>
            <w:r>
              <w:t>2240505</w:t>
            </w:r>
          </w:p>
        </w:tc>
        <w:tc>
          <w:tcPr>
            <w:tcW w:w="1559" w:type="dxa"/>
            <w:tcBorders>
              <w:left w:val="single" w:sz="6" w:space="0" w:color="auto"/>
            </w:tcBorders>
            <w:vAlign w:val="center"/>
          </w:tcPr>
          <w:p>
            <w:pPr>
              <w:pStyle w:val="20"/>
            </w:pPr>
            <w:r>
              <w:t>地震预测预报</w:t>
            </w:r>
          </w:p>
        </w:tc>
        <w:tc>
          <w:tcPr>
            <w:tcW w:w="1134" w:type="dxa"/>
            <w:tcBorders>
              <w:left w:val="single" w:sz="6" w:space="0" w:color="auto"/>
            </w:tcBorders>
            <w:vAlign w:val="center"/>
          </w:tcPr>
          <w:p>
            <w:pPr>
              <w:pStyle w:val="19"/>
            </w:pPr>
            <w:r>
              <w:t>1.80</w:t>
            </w:r>
          </w:p>
        </w:tc>
        <w:tc>
          <w:tcPr>
            <w:tcW w:w="1134" w:type="dxa"/>
            <w:tcBorders>
              <w:left w:val="single" w:sz="6" w:space="0" w:color="auto"/>
            </w:tcBorders>
            <w:vAlign w:val="center"/>
          </w:tcPr>
          <w:p>
            <w:pPr>
              <w:pStyle w:val="19"/>
            </w:pPr>
            <w:r>
              <w:t>1.80</w:t>
            </w:r>
          </w:p>
        </w:tc>
        <w:tc>
          <w:tcPr>
            <w:tcW w:w="1134" w:type="dxa"/>
            <w:tcBorders>
              <w:left w:val="single" w:sz="6" w:space="0" w:color="auto"/>
            </w:tcBorders>
            <w:vAlign w:val="center"/>
          </w:tcPr>
          <w:p>
            <w:pPr>
              <w:pStyle w:val="19"/>
            </w:pPr>
            <w:r>
              <w:t>1.80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21</w:t>
            </w:r>
          </w:p>
        </w:tc>
        <w:tc>
          <w:tcPr>
            <w:tcW w:w="992" w:type="dxa"/>
            <w:tcBorders>
              <w:left w:val="single" w:sz="6" w:space="0" w:color="auto"/>
            </w:tcBorders>
            <w:vAlign w:val="center"/>
          </w:tcPr>
          <w:p>
            <w:pPr>
              <w:pStyle w:val="20"/>
            </w:pPr>
            <w:r>
              <w:t>22407</w:t>
            </w:r>
          </w:p>
        </w:tc>
        <w:tc>
          <w:tcPr>
            <w:tcW w:w="1559" w:type="dxa"/>
            <w:tcBorders>
              <w:left w:val="single" w:sz="6" w:space="0" w:color="auto"/>
            </w:tcBorders>
            <w:vAlign w:val="center"/>
          </w:tcPr>
          <w:p>
            <w:pPr>
              <w:pStyle w:val="20"/>
            </w:pPr>
            <w:r>
              <w:t>自然灾害救灾及恢复重建支出</w:t>
            </w:r>
          </w:p>
        </w:tc>
        <w:tc>
          <w:tcPr>
            <w:tcW w:w="1134" w:type="dxa"/>
            <w:tcBorders>
              <w:left w:val="single" w:sz="6" w:space="0" w:color="auto"/>
            </w:tcBorders>
            <w:vAlign w:val="center"/>
          </w:tcPr>
          <w:p>
            <w:pPr>
              <w:pStyle w:val="19"/>
            </w:pPr>
            <w:r>
              <w:t>268.53</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119.53</w:t>
            </w:r>
          </w:p>
        </w:tc>
      </w:tr>
      <w:tr>
        <w:trPr>
          <w:trHeight w:val="369"/>
        </w:trPr>
        <w:tc>
          <w:tcPr>
            <w:tcW w:w="680" w:type="dxa"/>
            <w:vAlign w:val="center"/>
          </w:tcPr>
          <w:p>
            <w:pPr>
              <w:pStyle w:val="21"/>
            </w:pPr>
            <w:r>
              <w:t>22</w:t>
            </w:r>
          </w:p>
        </w:tc>
        <w:tc>
          <w:tcPr>
            <w:tcW w:w="992" w:type="dxa"/>
            <w:tcBorders>
              <w:left w:val="single" w:sz="6" w:space="0" w:color="auto"/>
            </w:tcBorders>
            <w:vAlign w:val="center"/>
          </w:tcPr>
          <w:p>
            <w:pPr>
              <w:pStyle w:val="20"/>
            </w:pPr>
            <w:r>
              <w:t>2240703</w:t>
            </w:r>
          </w:p>
        </w:tc>
        <w:tc>
          <w:tcPr>
            <w:tcW w:w="1559" w:type="dxa"/>
            <w:tcBorders>
              <w:left w:val="single" w:sz="6" w:space="0" w:color="auto"/>
            </w:tcBorders>
            <w:vAlign w:val="center"/>
          </w:tcPr>
          <w:p>
            <w:pPr>
              <w:pStyle w:val="20"/>
            </w:pPr>
            <w:r>
              <w:t>自然灾害救灾补助</w:t>
            </w:r>
          </w:p>
        </w:tc>
        <w:tc>
          <w:tcPr>
            <w:tcW w:w="1134" w:type="dxa"/>
            <w:tcBorders>
              <w:left w:val="single" w:sz="6" w:space="0" w:color="auto"/>
            </w:tcBorders>
            <w:vAlign w:val="center"/>
          </w:tcPr>
          <w:p>
            <w:pPr>
              <w:pStyle w:val="19"/>
            </w:pPr>
            <w:r>
              <w:t>268.53</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119.53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1296.30</w:t>
            </w:r>
          </w:p>
        </w:tc>
        <w:tc>
          <w:tcPr>
            <w:tcW w:w="1361" w:type="dxa"/>
            <w:tcBorders>
              <w:left w:val="single" w:sz="6" w:space="0" w:color="auto"/>
            </w:tcBorders>
            <w:vAlign w:val="center"/>
          </w:tcPr>
          <w:p>
            <w:pPr>
              <w:pStyle w:val="23"/>
            </w:pPr>
            <w:r>
              <w:t>782.68</w:t>
            </w:r>
          </w:p>
        </w:tc>
        <w:tc>
          <w:tcPr>
            <w:tcW w:w="1361" w:type="dxa"/>
            <w:tcBorders>
              <w:left w:val="single" w:sz="6" w:space="0" w:color="auto"/>
            </w:tcBorders>
            <w:vAlign w:val="center"/>
          </w:tcPr>
          <w:p>
            <w:pPr>
              <w:pStyle w:val="23"/>
            </w:pPr>
            <w:r>
              <w:t>513.62</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1361" w:type="dxa"/>
            <w:tcBorders>
              <w:left w:val="single" w:sz="6" w:space="0" w:color="auto"/>
            </w:tcBorders>
            <w:vAlign w:val="center"/>
          </w:tcPr>
          <w:p>
            <w:pPr>
              <w:pStyle w:val="19"/>
            </w:pPr>
            <w:r>
              <w:t>41.41</w:t>
            </w:r>
          </w:p>
        </w:tc>
        <w:tc>
          <w:tcPr>
            <w:tcW w:w="1361" w:type="dxa"/>
            <w:tcBorders>
              <w:left w:val="single" w:sz="6" w:space="0" w:color="auto"/>
            </w:tcBorders>
            <w:vAlign w:val="center"/>
          </w:tcPr>
          <w:p>
            <w:pPr>
              <w:pStyle w:val="19"/>
            </w:pPr>
            <w:r>
              <w:t>41.41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68.42</w:t>
            </w:r>
          </w:p>
        </w:tc>
        <w:tc>
          <w:tcPr>
            <w:tcW w:w="1361" w:type="dxa"/>
            <w:tcBorders>
              <w:left w:val="single" w:sz="6" w:space="0" w:color="auto"/>
            </w:tcBorders>
            <w:vAlign w:val="center"/>
          </w:tcPr>
          <w:p>
            <w:pPr>
              <w:pStyle w:val="19"/>
            </w:pPr>
            <w:r>
              <w:t>68.42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23.56</w:t>
            </w:r>
          </w:p>
        </w:tc>
        <w:tc>
          <w:tcPr>
            <w:tcW w:w="1361" w:type="dxa"/>
            <w:tcBorders>
              <w:left w:val="single" w:sz="6" w:space="0" w:color="auto"/>
            </w:tcBorders>
            <w:vAlign w:val="center"/>
          </w:tcPr>
          <w:p>
            <w:pPr>
              <w:pStyle w:val="19"/>
            </w:pPr>
            <w:r>
              <w:t>23.56</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18.23</w:t>
            </w:r>
          </w:p>
        </w:tc>
        <w:tc>
          <w:tcPr>
            <w:tcW w:w="1361" w:type="dxa"/>
            <w:tcBorders>
              <w:left w:val="single" w:sz="6" w:space="0" w:color="auto"/>
            </w:tcBorders>
            <w:vAlign w:val="center"/>
          </w:tcPr>
          <w:p>
            <w:pPr>
              <w:pStyle w:val="19"/>
            </w:pPr>
            <w:r>
              <w:t>18.23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224</w:t>
            </w:r>
          </w:p>
        </w:tc>
        <w:tc>
          <w:tcPr>
            <w:tcW w:w="4535" w:type="dxa"/>
            <w:tcBorders>
              <w:left w:val="single" w:sz="6" w:space="0" w:color="auto"/>
            </w:tcBorders>
            <w:vAlign w:val="center"/>
          </w:tcPr>
          <w:p>
            <w:pPr>
              <w:pStyle w:val="20"/>
            </w:pPr>
            <w:r>
              <w:t>灾害防治及应急管理支出</w:t>
            </w:r>
          </w:p>
        </w:tc>
        <w:tc>
          <w:tcPr>
            <w:tcW w:w="1361" w:type="dxa"/>
            <w:tcBorders>
              <w:left w:val="single" w:sz="6" w:space="0" w:color="auto"/>
            </w:tcBorders>
            <w:vAlign w:val="center"/>
          </w:tcPr>
          <w:p>
            <w:pPr>
              <w:pStyle w:val="19"/>
            </w:pPr>
            <w:r>
              <w:t>1094.37</w:t>
            </w:r>
          </w:p>
        </w:tc>
        <w:tc>
          <w:tcPr>
            <w:tcW w:w="1361" w:type="dxa"/>
            <w:tcBorders>
              <w:left w:val="single" w:sz="6" w:space="0" w:color="auto"/>
            </w:tcBorders>
            <w:vAlign w:val="center"/>
          </w:tcPr>
          <w:p>
            <w:pPr>
              <w:pStyle w:val="19"/>
            </w:pPr>
            <w:r>
              <w:t>580.75</w:t>
            </w:r>
          </w:p>
        </w:tc>
        <w:tc>
          <w:tcPr>
            <w:tcW w:w="1361" w:type="dxa"/>
            <w:tcBorders>
              <w:left w:val="single" w:sz="6" w:space="0" w:color="auto"/>
            </w:tcBorders>
            <w:vAlign w:val="center"/>
          </w:tcPr>
          <w:p>
            <w:pPr>
              <w:pStyle w:val="19"/>
            </w:pPr>
            <w:r>
              <w:t>513.62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22401</w:t>
            </w:r>
          </w:p>
        </w:tc>
        <w:tc>
          <w:tcPr>
            <w:tcW w:w="4535" w:type="dxa"/>
            <w:tcBorders>
              <w:left w:val="single" w:sz="6" w:space="0" w:color="auto"/>
            </w:tcBorders>
            <w:vAlign w:val="center"/>
          </w:tcPr>
          <w:p>
            <w:pPr>
              <w:pStyle w:val="20"/>
            </w:pPr>
            <w:r>
              <w:t>应急管理事务</w:t>
            </w:r>
          </w:p>
        </w:tc>
        <w:tc>
          <w:tcPr>
            <w:tcW w:w="1361" w:type="dxa"/>
            <w:tcBorders>
              <w:left w:val="single" w:sz="6" w:space="0" w:color="auto"/>
            </w:tcBorders>
            <w:vAlign w:val="center"/>
          </w:tcPr>
          <w:p>
            <w:pPr>
              <w:pStyle w:val="19"/>
            </w:pPr>
            <w:r>
              <w:t>823.24</w:t>
            </w:r>
          </w:p>
        </w:tc>
        <w:tc>
          <w:tcPr>
            <w:tcW w:w="1361" w:type="dxa"/>
            <w:tcBorders>
              <w:left w:val="single" w:sz="6" w:space="0" w:color="auto"/>
            </w:tcBorders>
            <w:vAlign w:val="center"/>
          </w:tcPr>
          <w:p>
            <w:pPr>
              <w:pStyle w:val="19"/>
            </w:pPr>
            <w:r>
              <w:t>580.75</w:t>
            </w:r>
          </w:p>
        </w:tc>
        <w:tc>
          <w:tcPr>
            <w:tcW w:w="1361" w:type="dxa"/>
            <w:tcBorders>
              <w:left w:val="single" w:sz="6" w:space="0" w:color="auto"/>
            </w:tcBorders>
            <w:vAlign w:val="center"/>
          </w:tcPr>
          <w:p>
            <w:pPr>
              <w:pStyle w:val="19"/>
            </w:pPr>
            <w:r>
              <w:t>242.49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2240101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759.95</w:t>
            </w:r>
          </w:p>
        </w:tc>
        <w:tc>
          <w:tcPr>
            <w:tcW w:w="1361" w:type="dxa"/>
            <w:tcBorders>
              <w:left w:val="single" w:sz="6" w:space="0" w:color="auto"/>
            </w:tcBorders>
            <w:vAlign w:val="center"/>
          </w:tcPr>
          <w:p>
            <w:pPr>
              <w:pStyle w:val="19"/>
            </w:pPr>
            <w:r>
              <w:t>580.75</w:t>
            </w:r>
          </w:p>
        </w:tc>
        <w:tc>
          <w:tcPr>
            <w:tcW w:w="1361" w:type="dxa"/>
            <w:tcBorders>
              <w:left w:val="single" w:sz="6" w:space="0" w:color="auto"/>
            </w:tcBorders>
            <w:vAlign w:val="center"/>
          </w:tcPr>
          <w:p>
            <w:pPr>
              <w:pStyle w:val="19"/>
            </w:pPr>
            <w:r>
              <w:t>179.20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2240104</w:t>
            </w:r>
          </w:p>
        </w:tc>
        <w:tc>
          <w:tcPr>
            <w:tcW w:w="4535" w:type="dxa"/>
            <w:tcBorders>
              <w:left w:val="single" w:sz="6" w:space="0" w:color="auto"/>
            </w:tcBorders>
            <w:vAlign w:val="center"/>
          </w:tcPr>
          <w:p>
            <w:pPr>
              <w:pStyle w:val="20"/>
            </w:pPr>
            <w:r>
              <w:t>灾害风险防治</w:t>
            </w:r>
          </w:p>
        </w:tc>
        <w:tc>
          <w:tcPr>
            <w:tcW w:w="1361" w:type="dxa"/>
            <w:tcBorders>
              <w:left w:val="single" w:sz="6" w:space="0" w:color="auto"/>
            </w:tcBorders>
            <w:vAlign w:val="center"/>
          </w:tcPr>
          <w:p>
            <w:pPr>
              <w:pStyle w:val="19"/>
            </w:pPr>
            <w:r>
              <w:t>10.00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10.00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2240108</w:t>
            </w:r>
          </w:p>
        </w:tc>
        <w:tc>
          <w:tcPr>
            <w:tcW w:w="4535" w:type="dxa"/>
            <w:tcBorders>
              <w:left w:val="single" w:sz="6" w:space="0" w:color="auto"/>
            </w:tcBorders>
            <w:vAlign w:val="center"/>
          </w:tcPr>
          <w:p>
            <w:pPr>
              <w:pStyle w:val="20"/>
            </w:pPr>
            <w:r>
              <w:t>应急救援</w:t>
            </w:r>
          </w:p>
        </w:tc>
        <w:tc>
          <w:tcPr>
            <w:tcW w:w="1361" w:type="dxa"/>
            <w:tcBorders>
              <w:left w:val="single" w:sz="6" w:space="0" w:color="auto"/>
            </w:tcBorders>
            <w:vAlign w:val="center"/>
          </w:tcPr>
          <w:p>
            <w:pPr>
              <w:pStyle w:val="19"/>
            </w:pPr>
            <w:r>
              <w:t>53.29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53.29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22405</w:t>
            </w:r>
          </w:p>
        </w:tc>
        <w:tc>
          <w:tcPr>
            <w:tcW w:w="4535" w:type="dxa"/>
            <w:tcBorders>
              <w:left w:val="single" w:sz="6" w:space="0" w:color="auto"/>
            </w:tcBorders>
            <w:vAlign w:val="center"/>
          </w:tcPr>
          <w:p>
            <w:pPr>
              <w:pStyle w:val="20"/>
            </w:pPr>
            <w:r>
              <w:t>地震事务</w:t>
            </w:r>
          </w:p>
        </w:tc>
        <w:tc>
          <w:tcPr>
            <w:tcW w:w="1361" w:type="dxa"/>
            <w:tcBorders>
              <w:left w:val="single" w:sz="6" w:space="0" w:color="auto"/>
            </w:tcBorders>
            <w:vAlign w:val="center"/>
          </w:tcPr>
          <w:p>
            <w:pPr>
              <w:pStyle w:val="19"/>
            </w:pPr>
            <w:r>
              <w:t>2.60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2.60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auto"/>
            </w:tcBorders>
            <w:vAlign w:val="center"/>
          </w:tcPr>
          <w:p>
            <w:pPr>
              <w:pStyle w:val="20"/>
            </w:pPr>
            <w:r>
              <w:t>2240504</w:t>
            </w:r>
          </w:p>
        </w:tc>
        <w:tc>
          <w:tcPr>
            <w:tcW w:w="4535" w:type="dxa"/>
            <w:tcBorders>
              <w:left w:val="single" w:sz="6" w:space="0" w:color="auto"/>
            </w:tcBorders>
            <w:vAlign w:val="center"/>
          </w:tcPr>
          <w:p>
            <w:pPr>
              <w:pStyle w:val="20"/>
            </w:pPr>
            <w:r>
              <w:t>地震监测</w:t>
            </w:r>
          </w:p>
        </w:tc>
        <w:tc>
          <w:tcPr>
            <w:tcW w:w="1361" w:type="dxa"/>
            <w:tcBorders>
              <w:left w:val="single" w:sz="6" w:space="0" w:color="auto"/>
            </w:tcBorders>
            <w:vAlign w:val="center"/>
          </w:tcPr>
          <w:p>
            <w:pPr>
              <w:pStyle w:val="19"/>
            </w:pPr>
            <w:r>
              <w:t>0.80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0.80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auto"/>
            </w:tcBorders>
            <w:vAlign w:val="center"/>
          </w:tcPr>
          <w:p>
            <w:pPr>
              <w:pStyle w:val="20"/>
            </w:pPr>
            <w:r>
              <w:t>2240505</w:t>
            </w:r>
          </w:p>
        </w:tc>
        <w:tc>
          <w:tcPr>
            <w:tcW w:w="4535" w:type="dxa"/>
            <w:tcBorders>
              <w:left w:val="single" w:sz="6" w:space="0" w:color="auto"/>
            </w:tcBorders>
            <w:vAlign w:val="center"/>
          </w:tcPr>
          <w:p>
            <w:pPr>
              <w:pStyle w:val="20"/>
            </w:pPr>
            <w:r>
              <w:t>地震预测预报</w:t>
            </w:r>
          </w:p>
        </w:tc>
        <w:tc>
          <w:tcPr>
            <w:tcW w:w="1361" w:type="dxa"/>
            <w:tcBorders>
              <w:left w:val="single" w:sz="6" w:space="0" w:color="auto"/>
            </w:tcBorders>
            <w:vAlign w:val="center"/>
          </w:tcPr>
          <w:p>
            <w:pPr>
              <w:pStyle w:val="19"/>
            </w:pPr>
            <w:r>
              <w:t>1.80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992" w:type="dxa"/>
            <w:tcBorders>
              <w:left w:val="single" w:sz="6" w:space="0" w:color="auto"/>
            </w:tcBorders>
            <w:vAlign w:val="center"/>
          </w:tcPr>
          <w:p>
            <w:pPr>
              <w:pStyle w:val="20"/>
            </w:pPr>
            <w:r>
              <w:t>22407</w:t>
            </w:r>
          </w:p>
        </w:tc>
        <w:tc>
          <w:tcPr>
            <w:tcW w:w="4535" w:type="dxa"/>
            <w:tcBorders>
              <w:left w:val="single" w:sz="6" w:space="0" w:color="auto"/>
            </w:tcBorders>
            <w:vAlign w:val="center"/>
          </w:tcPr>
          <w:p>
            <w:pPr>
              <w:pStyle w:val="20"/>
            </w:pPr>
            <w:r>
              <w:t>自然灾害救灾及恢复重建支出</w:t>
            </w: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992" w:type="dxa"/>
            <w:tcBorders>
              <w:left w:val="single" w:sz="6" w:space="0" w:color="auto"/>
            </w:tcBorders>
            <w:vAlign w:val="center"/>
          </w:tcPr>
          <w:p>
            <w:pPr>
              <w:pStyle w:val="20"/>
            </w:pPr>
            <w:r>
              <w:t>2240703</w:t>
            </w:r>
          </w:p>
        </w:tc>
        <w:tc>
          <w:tcPr>
            <w:tcW w:w="4535" w:type="dxa"/>
            <w:tcBorders>
              <w:left w:val="single" w:sz="6" w:space="0" w:color="auto"/>
            </w:tcBorders>
            <w:vAlign w:val="center"/>
          </w:tcPr>
          <w:p>
            <w:pPr>
              <w:pStyle w:val="20"/>
            </w:pPr>
            <w:r>
              <w:t>自然灾害救灾补助</w:t>
            </w: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1123.49</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109.83</w:t>
            </w:r>
          </w:p>
        </w:tc>
        <w:tc>
          <w:tcPr>
            <w:tcW w:w="1474" w:type="dxa"/>
            <w:tcBorders>
              <w:left w:val="single" w:sz="6" w:space="0" w:color="auto"/>
            </w:tcBorders>
            <w:vAlign w:val="center"/>
          </w:tcPr>
          <w:p>
            <w:pPr>
              <w:pStyle w:val="19"/>
            </w:pPr>
            <w:r>
              <w:t>109.83</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41.78</w:t>
            </w:r>
          </w:p>
        </w:tc>
        <w:tc>
          <w:tcPr>
            <w:tcW w:w="1474" w:type="dxa"/>
            <w:tcBorders>
              <w:left w:val="single" w:sz="6" w:space="0" w:color="auto"/>
            </w:tcBorders>
            <w:vAlign w:val="center"/>
          </w:tcPr>
          <w:p>
            <w:pPr>
              <w:pStyle w:val="19"/>
            </w:pPr>
            <w:r>
              <w:t>41.78</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50.31</w:t>
            </w:r>
          </w:p>
        </w:tc>
        <w:tc>
          <w:tcPr>
            <w:tcW w:w="1474" w:type="dxa"/>
            <w:tcBorders>
              <w:left w:val="single" w:sz="6" w:space="0" w:color="auto"/>
            </w:tcBorders>
            <w:vAlign w:val="center"/>
          </w:tcPr>
          <w:p>
            <w:pPr>
              <w:pStyle w:val="19"/>
            </w:pPr>
            <w:r>
              <w:t>50.31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r>
              <w:t>1094.37</w:t>
            </w:r>
          </w:p>
        </w:tc>
        <w:tc>
          <w:tcPr>
            <w:tcW w:w="1474" w:type="dxa"/>
            <w:tcBorders>
              <w:left w:val="single" w:sz="6" w:space="0" w:color="auto"/>
            </w:tcBorders>
            <w:vAlign w:val="center"/>
          </w:tcPr>
          <w:p>
            <w:pPr>
              <w:pStyle w:val="19"/>
            </w:pPr>
            <w:r>
              <w:t>1094.37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1123.49</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r>
              <w:t>172.81</w:t>
            </w: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172.81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1296.30</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1296.30</w:t>
            </w:r>
          </w:p>
        </w:tc>
        <w:tc>
          <w:tcPr>
            <w:tcW w:w="2551" w:type="dxa"/>
            <w:tcBorders>
              <w:left w:val="single" w:sz="6" w:space="0" w:color="auto"/>
            </w:tcBorders>
            <w:vAlign w:val="center"/>
          </w:tcPr>
          <w:p>
            <w:pPr>
              <w:pStyle w:val="23"/>
            </w:pPr>
            <w:r>
              <w:t>782.68</w:t>
            </w:r>
          </w:p>
        </w:tc>
        <w:tc>
          <w:tcPr>
            <w:tcW w:w="2551" w:type="dxa"/>
            <w:tcBorders>
              <w:left w:val="single" w:sz="6" w:space="0" w:color="auto"/>
            </w:tcBorders>
            <w:vAlign w:val="center"/>
          </w:tcPr>
          <w:p>
            <w:pPr>
              <w:pStyle w:val="23"/>
            </w:pPr>
            <w:r>
              <w:t>513.62</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224</w:t>
            </w:r>
          </w:p>
        </w:tc>
        <w:tc>
          <w:tcPr>
            <w:tcW w:w="4535" w:type="dxa"/>
            <w:tcBorders>
              <w:left w:val="single" w:sz="6" w:space="0" w:color="auto"/>
            </w:tcBorders>
            <w:vAlign w:val="center"/>
          </w:tcPr>
          <w:p>
            <w:pPr>
              <w:pStyle w:val="20"/>
            </w:pPr>
            <w:r>
              <w:t>灾害防治及应急管理支出</w:t>
            </w:r>
          </w:p>
        </w:tc>
        <w:tc>
          <w:tcPr>
            <w:tcW w:w="2551" w:type="dxa"/>
            <w:tcBorders>
              <w:left w:val="single" w:sz="6" w:space="0" w:color="auto"/>
            </w:tcBorders>
            <w:vAlign w:val="center"/>
          </w:tcPr>
          <w:p>
            <w:pPr>
              <w:pStyle w:val="19"/>
            </w:pPr>
            <w:r>
              <w:t>1094.37</w:t>
            </w:r>
          </w:p>
        </w:tc>
        <w:tc>
          <w:tcPr>
            <w:tcW w:w="2551" w:type="dxa"/>
            <w:tcBorders>
              <w:left w:val="single" w:sz="6" w:space="0" w:color="auto"/>
            </w:tcBorders>
            <w:vAlign w:val="center"/>
          </w:tcPr>
          <w:p>
            <w:pPr>
              <w:pStyle w:val="19"/>
            </w:pPr>
            <w:r>
              <w:t>580.75</w:t>
            </w:r>
          </w:p>
        </w:tc>
        <w:tc>
          <w:tcPr>
            <w:tcW w:w="2551" w:type="dxa"/>
            <w:tcBorders>
              <w:left w:val="single" w:sz="6" w:space="0" w:color="auto"/>
            </w:tcBorders>
            <w:vAlign w:val="center"/>
          </w:tcPr>
          <w:p>
            <w:pPr>
              <w:pStyle w:val="19"/>
            </w:pPr>
            <w:r>
              <w:t>513.62</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22401</w:t>
            </w:r>
          </w:p>
        </w:tc>
        <w:tc>
          <w:tcPr>
            <w:tcW w:w="4535" w:type="dxa"/>
            <w:tcBorders>
              <w:left w:val="single" w:sz="6" w:space="0" w:color="auto"/>
            </w:tcBorders>
            <w:vAlign w:val="center"/>
          </w:tcPr>
          <w:p>
            <w:pPr>
              <w:pStyle w:val="20"/>
            </w:pPr>
            <w:r>
              <w:t>应急管理事务</w:t>
            </w:r>
          </w:p>
        </w:tc>
        <w:tc>
          <w:tcPr>
            <w:tcW w:w="2551" w:type="dxa"/>
            <w:tcBorders>
              <w:left w:val="single" w:sz="6" w:space="0" w:color="auto"/>
            </w:tcBorders>
            <w:vAlign w:val="center"/>
          </w:tcPr>
          <w:p>
            <w:pPr>
              <w:pStyle w:val="19"/>
            </w:pPr>
            <w:r>
              <w:t>823.24</w:t>
            </w:r>
          </w:p>
        </w:tc>
        <w:tc>
          <w:tcPr>
            <w:tcW w:w="2551" w:type="dxa"/>
            <w:tcBorders>
              <w:left w:val="single" w:sz="6" w:space="0" w:color="auto"/>
            </w:tcBorders>
            <w:vAlign w:val="center"/>
          </w:tcPr>
          <w:p>
            <w:pPr>
              <w:pStyle w:val="19"/>
            </w:pPr>
            <w:r>
              <w:t>580.75</w:t>
            </w:r>
          </w:p>
        </w:tc>
        <w:tc>
          <w:tcPr>
            <w:tcW w:w="2551" w:type="dxa"/>
            <w:tcBorders>
              <w:left w:val="single" w:sz="6" w:space="0" w:color="auto"/>
            </w:tcBorders>
            <w:vAlign w:val="center"/>
          </w:tcPr>
          <w:p>
            <w:pPr>
              <w:pStyle w:val="19"/>
            </w:pPr>
            <w:r>
              <w:t>242.49</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2240101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759.95</w:t>
            </w:r>
          </w:p>
        </w:tc>
        <w:tc>
          <w:tcPr>
            <w:tcW w:w="2551" w:type="dxa"/>
            <w:tcBorders>
              <w:left w:val="single" w:sz="6" w:space="0" w:color="auto"/>
            </w:tcBorders>
            <w:vAlign w:val="center"/>
          </w:tcPr>
          <w:p>
            <w:pPr>
              <w:pStyle w:val="19"/>
            </w:pPr>
            <w:r>
              <w:t>580.75</w:t>
            </w:r>
          </w:p>
        </w:tc>
        <w:tc>
          <w:tcPr>
            <w:tcW w:w="2551" w:type="dxa"/>
            <w:tcBorders>
              <w:left w:val="single" w:sz="6" w:space="0" w:color="auto"/>
            </w:tcBorders>
            <w:vAlign w:val="center"/>
          </w:tcPr>
          <w:p>
            <w:pPr>
              <w:pStyle w:val="19"/>
            </w:pPr>
            <w:r>
              <w:t>179.20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2240104</w:t>
            </w:r>
          </w:p>
        </w:tc>
        <w:tc>
          <w:tcPr>
            <w:tcW w:w="4535" w:type="dxa"/>
            <w:tcBorders>
              <w:left w:val="single" w:sz="6" w:space="0" w:color="auto"/>
            </w:tcBorders>
            <w:vAlign w:val="center"/>
          </w:tcPr>
          <w:p>
            <w:pPr>
              <w:pStyle w:val="20"/>
            </w:pPr>
            <w:r>
              <w:t>灾害风险防治</w:t>
            </w:r>
          </w:p>
        </w:tc>
        <w:tc>
          <w:tcPr>
            <w:tcW w:w="2551" w:type="dxa"/>
            <w:tcBorders>
              <w:left w:val="single" w:sz="6" w:space="0" w:color="auto"/>
            </w:tcBorders>
            <w:vAlign w:val="center"/>
          </w:tcPr>
          <w:p>
            <w:pPr>
              <w:pStyle w:val="19"/>
            </w:pPr>
            <w:r>
              <w:t>10.00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10.00</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2240108</w:t>
            </w:r>
          </w:p>
        </w:tc>
        <w:tc>
          <w:tcPr>
            <w:tcW w:w="4535" w:type="dxa"/>
            <w:tcBorders>
              <w:left w:val="single" w:sz="6" w:space="0" w:color="auto"/>
            </w:tcBorders>
            <w:vAlign w:val="center"/>
          </w:tcPr>
          <w:p>
            <w:pPr>
              <w:pStyle w:val="20"/>
            </w:pPr>
            <w:r>
              <w:t>应急救援</w:t>
            </w:r>
          </w:p>
        </w:tc>
        <w:tc>
          <w:tcPr>
            <w:tcW w:w="2551" w:type="dxa"/>
            <w:tcBorders>
              <w:left w:val="single" w:sz="6" w:space="0" w:color="auto"/>
            </w:tcBorders>
            <w:vAlign w:val="center"/>
          </w:tcPr>
          <w:p>
            <w:pPr>
              <w:pStyle w:val="19"/>
            </w:pPr>
            <w:r>
              <w:t>53.29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53.29</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22405</w:t>
            </w:r>
          </w:p>
        </w:tc>
        <w:tc>
          <w:tcPr>
            <w:tcW w:w="4535" w:type="dxa"/>
            <w:tcBorders>
              <w:left w:val="single" w:sz="6" w:space="0" w:color="auto"/>
            </w:tcBorders>
            <w:vAlign w:val="center"/>
          </w:tcPr>
          <w:p>
            <w:pPr>
              <w:pStyle w:val="20"/>
            </w:pPr>
            <w:r>
              <w:t>地震事务</w:t>
            </w:r>
          </w:p>
        </w:tc>
        <w:tc>
          <w:tcPr>
            <w:tcW w:w="2551" w:type="dxa"/>
            <w:tcBorders>
              <w:left w:val="single" w:sz="6" w:space="0" w:color="auto"/>
            </w:tcBorders>
            <w:vAlign w:val="center"/>
          </w:tcPr>
          <w:p>
            <w:pPr>
              <w:pStyle w:val="19"/>
            </w:pPr>
            <w:r>
              <w:t>2.60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2.60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2240504</w:t>
            </w:r>
          </w:p>
        </w:tc>
        <w:tc>
          <w:tcPr>
            <w:tcW w:w="4535" w:type="dxa"/>
            <w:tcBorders>
              <w:left w:val="single" w:sz="6" w:space="0" w:color="auto"/>
            </w:tcBorders>
            <w:vAlign w:val="center"/>
          </w:tcPr>
          <w:p>
            <w:pPr>
              <w:pStyle w:val="20"/>
            </w:pPr>
            <w:r>
              <w:t>地震监测</w:t>
            </w:r>
          </w:p>
        </w:tc>
        <w:tc>
          <w:tcPr>
            <w:tcW w:w="2551" w:type="dxa"/>
            <w:tcBorders>
              <w:left w:val="single" w:sz="6" w:space="0" w:color="auto"/>
            </w:tcBorders>
            <w:vAlign w:val="center"/>
          </w:tcPr>
          <w:p>
            <w:pPr>
              <w:pStyle w:val="19"/>
            </w:pPr>
            <w:r>
              <w:t>0.80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0.80</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2240505</w:t>
            </w:r>
          </w:p>
        </w:tc>
        <w:tc>
          <w:tcPr>
            <w:tcW w:w="4535" w:type="dxa"/>
            <w:tcBorders>
              <w:left w:val="single" w:sz="6" w:space="0" w:color="auto"/>
            </w:tcBorders>
            <w:vAlign w:val="center"/>
          </w:tcPr>
          <w:p>
            <w:pPr>
              <w:pStyle w:val="20"/>
            </w:pPr>
            <w:r>
              <w:t>地震预测预报</w:t>
            </w:r>
          </w:p>
        </w:tc>
        <w:tc>
          <w:tcPr>
            <w:tcW w:w="2551" w:type="dxa"/>
            <w:tcBorders>
              <w:left w:val="single" w:sz="6" w:space="0" w:color="auto"/>
            </w:tcBorders>
            <w:vAlign w:val="center"/>
          </w:tcPr>
          <w:p>
            <w:pPr>
              <w:pStyle w:val="19"/>
            </w:pPr>
            <w:r>
              <w:t>1.80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1.80</w:t>
            </w: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22407</w:t>
            </w:r>
          </w:p>
        </w:tc>
        <w:tc>
          <w:tcPr>
            <w:tcW w:w="4535" w:type="dxa"/>
            <w:tcBorders>
              <w:left w:val="single" w:sz="6" w:space="0" w:color="auto"/>
            </w:tcBorders>
            <w:vAlign w:val="center"/>
          </w:tcPr>
          <w:p>
            <w:pPr>
              <w:pStyle w:val="20"/>
            </w:pPr>
            <w:r>
              <w:t>自然灾害救灾及恢复重建支出</w:t>
            </w:r>
          </w:p>
        </w:tc>
        <w:tc>
          <w:tcPr>
            <w:tcW w:w="2551" w:type="dxa"/>
            <w:tcBorders>
              <w:left w:val="single" w:sz="6" w:space="0" w:color="auto"/>
            </w:tcBorders>
            <w:vAlign w:val="center"/>
          </w:tcPr>
          <w:p>
            <w:pPr>
              <w:pStyle w:val="19"/>
            </w:pPr>
            <w:r>
              <w:t>268.53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268.53</w:t>
            </w: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2240703</w:t>
            </w:r>
          </w:p>
        </w:tc>
        <w:tc>
          <w:tcPr>
            <w:tcW w:w="4535" w:type="dxa"/>
            <w:tcBorders>
              <w:left w:val="single" w:sz="6" w:space="0" w:color="auto"/>
            </w:tcBorders>
            <w:vAlign w:val="center"/>
          </w:tcPr>
          <w:p>
            <w:pPr>
              <w:pStyle w:val="20"/>
            </w:pPr>
            <w:r>
              <w:t>自然灾害救灾补助</w:t>
            </w:r>
          </w:p>
        </w:tc>
        <w:tc>
          <w:tcPr>
            <w:tcW w:w="2551" w:type="dxa"/>
            <w:tcBorders>
              <w:left w:val="single" w:sz="6" w:space="0" w:color="auto"/>
            </w:tcBorders>
            <w:vAlign w:val="center"/>
          </w:tcPr>
          <w:p>
            <w:pPr>
              <w:pStyle w:val="19"/>
            </w:pPr>
            <w:r>
              <w:t>268.53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268.53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782.68</w:t>
            </w:r>
          </w:p>
        </w:tc>
        <w:tc>
          <w:tcPr>
            <w:tcW w:w="2551" w:type="dxa"/>
            <w:tcBorders>
              <w:left w:val="single" w:sz="6" w:space="0" w:color="auto"/>
            </w:tcBorders>
            <w:vAlign w:val="center"/>
          </w:tcPr>
          <w:p>
            <w:pPr>
              <w:pStyle w:val="23"/>
            </w:pPr>
            <w:r>
              <w:t>732.79</w:t>
            </w:r>
          </w:p>
        </w:tc>
        <w:tc>
          <w:tcPr>
            <w:tcW w:w="2551" w:type="dxa"/>
            <w:tcBorders>
              <w:left w:val="single" w:sz="6" w:space="0" w:color="auto"/>
            </w:tcBorders>
            <w:vAlign w:val="center"/>
          </w:tcPr>
          <w:p>
            <w:pPr>
              <w:pStyle w:val="23"/>
            </w:pPr>
            <w:r>
              <w:t>49.89</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691.30</w:t>
            </w:r>
          </w:p>
        </w:tc>
        <w:tc>
          <w:tcPr>
            <w:tcW w:w="2551" w:type="dxa"/>
            <w:tcBorders>
              <w:left w:val="single" w:sz="6" w:space="0" w:color="auto"/>
            </w:tcBorders>
            <w:vAlign w:val="center"/>
          </w:tcPr>
          <w:p>
            <w:pPr>
              <w:pStyle w:val="19"/>
            </w:pPr>
            <w:r>
              <w:t>691.30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155.77</w:t>
            </w:r>
          </w:p>
        </w:tc>
        <w:tc>
          <w:tcPr>
            <w:tcW w:w="2551" w:type="dxa"/>
            <w:tcBorders>
              <w:left w:val="single" w:sz="6" w:space="0" w:color="auto"/>
            </w:tcBorders>
            <w:vAlign w:val="center"/>
          </w:tcPr>
          <w:p>
            <w:pPr>
              <w:pStyle w:val="19"/>
            </w:pPr>
            <w:r>
              <w:t>155.77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143.71</w:t>
            </w:r>
          </w:p>
        </w:tc>
        <w:tc>
          <w:tcPr>
            <w:tcW w:w="2551" w:type="dxa"/>
            <w:tcBorders>
              <w:left w:val="single" w:sz="6" w:space="0" w:color="auto"/>
            </w:tcBorders>
            <w:vAlign w:val="center"/>
          </w:tcPr>
          <w:p>
            <w:pPr>
              <w:pStyle w:val="19"/>
            </w:pPr>
            <w:r>
              <w:t>143.71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58.09</w:t>
            </w:r>
          </w:p>
        </w:tc>
        <w:tc>
          <w:tcPr>
            <w:tcW w:w="2551" w:type="dxa"/>
            <w:tcBorders>
              <w:left w:val="single" w:sz="6" w:space="0" w:color="auto"/>
            </w:tcBorders>
            <w:vAlign w:val="center"/>
          </w:tcPr>
          <w:p>
            <w:pPr>
              <w:pStyle w:val="19"/>
            </w:pPr>
            <w:r>
              <w:t>58.09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90.02</w:t>
            </w:r>
          </w:p>
        </w:tc>
        <w:tc>
          <w:tcPr>
            <w:tcW w:w="2551" w:type="dxa"/>
            <w:tcBorders>
              <w:left w:val="single" w:sz="6" w:space="0" w:color="auto"/>
            </w:tcBorders>
            <w:vAlign w:val="center"/>
          </w:tcPr>
          <w:p>
            <w:pPr>
              <w:pStyle w:val="19"/>
            </w:pPr>
            <w:r>
              <w:t>90.02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33.54</w:t>
            </w:r>
          </w:p>
        </w:tc>
        <w:tc>
          <w:tcPr>
            <w:tcW w:w="2551" w:type="dxa"/>
            <w:tcBorders>
              <w:left w:val="single" w:sz="6" w:space="0" w:color="auto"/>
            </w:tcBorders>
            <w:vAlign w:val="center"/>
          </w:tcPr>
          <w:p>
            <w:pPr>
              <w:pStyle w:val="19"/>
            </w:pPr>
            <w:r>
              <w:t>33.54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49.67</w:t>
            </w:r>
          </w:p>
        </w:tc>
        <w:tc>
          <w:tcPr>
            <w:tcW w:w="2551" w:type="dxa"/>
            <w:tcBorders>
              <w:left w:val="single" w:sz="6" w:space="0" w:color="auto"/>
            </w:tcBorders>
            <w:vAlign w:val="center"/>
          </w:tcPr>
          <w:p>
            <w:pPr>
              <w:pStyle w:val="19"/>
            </w:pPr>
            <w:r>
              <w:t>49.67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49.89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49.89</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3.70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3.70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30202</w:t>
            </w:r>
          </w:p>
        </w:tc>
        <w:tc>
          <w:tcPr>
            <w:tcW w:w="4535" w:type="dxa"/>
            <w:tcBorders>
              <w:left w:val="single" w:sz="6" w:space="0" w:color="auto"/>
            </w:tcBorders>
            <w:vAlign w:val="center"/>
          </w:tcPr>
          <w:p>
            <w:pPr>
              <w:pStyle w:val="20"/>
            </w:pPr>
            <w:r>
              <w:t>印刷费</w:t>
            </w:r>
          </w:p>
        </w:tc>
        <w:tc>
          <w:tcPr>
            <w:tcW w:w="2551" w:type="dxa"/>
            <w:tcBorders>
              <w:left w:val="single" w:sz="6" w:space="0" w:color="auto"/>
            </w:tcBorders>
            <w:vAlign w:val="center"/>
          </w:tcPr>
          <w:p>
            <w:pPr>
              <w:pStyle w:val="19"/>
            </w:pPr>
            <w:r>
              <w:t>2.00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2.00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14.18</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14.18</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1.50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1.50</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30213</w:t>
            </w:r>
          </w:p>
        </w:tc>
        <w:tc>
          <w:tcPr>
            <w:tcW w:w="4535" w:type="dxa"/>
            <w:tcBorders>
              <w:left w:val="single" w:sz="6" w:space="0" w:color="auto"/>
            </w:tcBorders>
            <w:vAlign w:val="center"/>
          </w:tcPr>
          <w:p>
            <w:pPr>
              <w:pStyle w:val="20"/>
            </w:pPr>
            <w:r>
              <w:t>维修(护)费</w:t>
            </w:r>
          </w:p>
        </w:tc>
        <w:tc>
          <w:tcPr>
            <w:tcW w:w="2551" w:type="dxa"/>
            <w:tcBorders>
              <w:left w:val="single" w:sz="6" w:space="0" w:color="auto"/>
            </w:tcBorders>
            <w:vAlign w:val="center"/>
          </w:tcPr>
          <w:p>
            <w:pPr>
              <w:pStyle w:val="19"/>
            </w:pPr>
            <w:r>
              <w:t>2.00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2.00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4.44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4.44</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3.96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3.96</w:t>
            </w: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30231</w:t>
            </w:r>
          </w:p>
        </w:tc>
        <w:tc>
          <w:tcPr>
            <w:tcW w:w="4535" w:type="dxa"/>
            <w:tcBorders>
              <w:left w:val="single" w:sz="6" w:space="0" w:color="auto"/>
            </w:tcBorders>
            <w:vAlign w:val="center"/>
          </w:tcPr>
          <w:p>
            <w:pPr>
              <w:pStyle w:val="20"/>
            </w:pPr>
            <w:r>
              <w:t>公务用车运行维护费</w:t>
            </w:r>
          </w:p>
        </w:tc>
        <w:tc>
          <w:tcPr>
            <w:tcW w:w="2551" w:type="dxa"/>
            <w:tcBorders>
              <w:left w:val="single" w:sz="6" w:space="0" w:color="auto"/>
            </w:tcBorders>
            <w:vAlign w:val="center"/>
          </w:tcPr>
          <w:p>
            <w:pPr>
              <w:pStyle w:val="19"/>
            </w:pPr>
            <w:r>
              <w:t>2.20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2.20</w:t>
            </w: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14.70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14.70</w:t>
            </w:r>
          </w:p>
        </w:tc>
      </w:tr>
      <w:tr>
        <w:trPr>
          <w:trHeight w:val="369"/>
        </w:trPr>
        <w:tc>
          <w:tcPr>
            <w:tcW w:w="850" w:type="dxa"/>
            <w:vAlign w:val="center"/>
          </w:tcPr>
          <w:p>
            <w:pPr>
              <w:pStyle w:val="21"/>
            </w:pPr>
            <w:r>
              <w:t>23</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1.21</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1.21</w:t>
            </w:r>
          </w:p>
        </w:tc>
      </w:tr>
      <w:tr>
        <w:trPr>
          <w:trHeight w:val="369"/>
        </w:trPr>
        <w:tc>
          <w:tcPr>
            <w:tcW w:w="850" w:type="dxa"/>
            <w:vAlign w:val="center"/>
          </w:tcPr>
          <w:p>
            <w:pPr>
              <w:pStyle w:val="21"/>
            </w:pPr>
            <w:r>
              <w:t>24</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41.49</w:t>
            </w:r>
          </w:p>
        </w:tc>
        <w:tc>
          <w:tcPr>
            <w:tcW w:w="2551" w:type="dxa"/>
            <w:tcBorders>
              <w:left w:val="single" w:sz="6" w:space="0" w:color="auto"/>
            </w:tcBorders>
            <w:vAlign w:val="center"/>
          </w:tcPr>
          <w:p>
            <w:pPr>
              <w:pStyle w:val="19"/>
            </w:pPr>
            <w:r>
              <w:t>41.49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1191" w:type="dxa"/>
            <w:tcBorders>
              <w:left w:val="single" w:sz="6" w:space="0" w:color="auto"/>
            </w:tcBorders>
            <w:vAlign w:val="center"/>
          </w:tcPr>
          <w:p>
            <w:pPr>
              <w:pStyle w:val="20"/>
            </w:pPr>
            <w:r>
              <w:t>30309</w:t>
            </w:r>
          </w:p>
        </w:tc>
        <w:tc>
          <w:tcPr>
            <w:tcW w:w="4535" w:type="dxa"/>
            <w:tcBorders>
              <w:left w:val="single" w:sz="6" w:space="0" w:color="auto"/>
            </w:tcBorders>
            <w:vAlign w:val="center"/>
          </w:tcPr>
          <w:p>
            <w:pPr>
              <w:pStyle w:val="20"/>
            </w:pPr>
            <w:r>
              <w:t>奖励金</w:t>
            </w:r>
          </w:p>
        </w:tc>
        <w:tc>
          <w:tcPr>
            <w:tcW w:w="2551" w:type="dxa"/>
            <w:tcBorders>
              <w:left w:val="single" w:sz="6" w:space="0" w:color="auto"/>
            </w:tcBorders>
            <w:vAlign w:val="center"/>
          </w:tcPr>
          <w:p>
            <w:pPr>
              <w:pStyle w:val="19"/>
            </w:pPr>
            <w:r>
              <w:t>0.07</w:t>
            </w:r>
          </w:p>
        </w:tc>
        <w:tc>
          <w:tcPr>
            <w:tcW w:w="2551" w:type="dxa"/>
            <w:tcBorders>
              <w:left w:val="single" w:sz="6" w:space="0" w:color="auto"/>
            </w:tcBorders>
            <w:vAlign w:val="center"/>
          </w:tcPr>
          <w:p>
            <w:pPr>
              <w:pStyle w:val="19"/>
            </w:pPr>
            <w:r>
              <w:t>0.07</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tcBorders>
            <w:vAlign w:val="center"/>
          </w:tcPr>
          <w:p>
            <w:pPr>
              <w:pStyle w:val="20"/>
              <w:jc w:val="center"/>
              <w:rPr>
                <w:rFonts w:eastAsia="方正书宋_GBK" w:hint="eastAsia"/>
                <w:lang w:val="en-US" w:eastAsia="zh-CN"/>
              </w:rPr>
            </w:pPr>
            <w:r>
              <w:rPr>
                <w:rFonts w:hint="eastAsia"/>
                <w:b/>
                <w:bCs/>
                <w:lang w:val="en-US" w:eastAsia="zh-CN"/>
              </w:rPr>
              <w:t>合计</w:t>
            </w:r>
          </w:p>
        </w:tc>
        <w:tc>
          <w:tcPr>
            <w:tcW w:w="2381" w:type="dxa"/>
            <w:tcBorders>
              <w:left w:val="single" w:sz="6" w:space="0" w:color="auto"/>
            </w:tcBorders>
            <w:vAlign w:val="center"/>
          </w:tcPr>
          <w:p>
            <w:pPr>
              <w:pStyle w:val="19"/>
            </w:pPr>
            <w:r>
              <w:rPr>
                <w:rFonts w:hint="eastAsia"/>
                <w:lang w:val="en-US" w:eastAsia="zh-CN"/>
              </w:rPr>
              <w:t>2.20</w:t>
            </w:r>
          </w:p>
        </w:tc>
        <w:tc>
          <w:tcPr>
            <w:tcW w:w="2381" w:type="dxa"/>
            <w:tcBorders>
              <w:left w:val="single" w:sz="6" w:space="0" w:color="auto"/>
            </w:tcBorders>
            <w:vAlign w:val="center"/>
          </w:tcPr>
          <w:p>
            <w:pPr>
              <w:pStyle w:val="19"/>
            </w:pPr>
            <w:r>
              <w:rPr>
                <w:rFonts w:hint="eastAsia"/>
                <w:lang w:val="en-US" w:eastAsia="zh-CN"/>
              </w:rPr>
              <w:t>2.20</w:t>
            </w: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2</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eastAsia="zh-CN"/>
              </w:rPr>
              <w:t>“</w:t>
            </w:r>
            <w:r>
              <w:rPr>
                <w:rFonts w:hint="eastAsia"/>
                <w:lang w:val="en-US" w:eastAsia="zh-CN"/>
              </w:rPr>
              <w:t>三公”经费小计</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3</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val="en-US" w:eastAsia="zh-CN"/>
              </w:rP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4</w:t>
            </w:r>
          </w:p>
        </w:tc>
        <w:tc>
          <w:tcPr>
            <w:tcW w:w="3798" w:type="dxa"/>
            <w:tcBorders>
              <w:left w:val="single" w:sz="6" w:space="0" w:color="auto"/>
              <w:right w:val="single" w:sz="6" w:space="0" w:color="auto"/>
            </w:tcBorders>
            <w:vAlign w:val="center"/>
          </w:tcPr>
          <w:p>
            <w:pPr>
              <w:pStyle w:val="20"/>
              <w:ind w:firstLineChars="100" w:firstLine="210"/>
              <w:rPr>
                <w:rFonts w:eastAsia="方正书宋_GBK"/>
                <w:lang w:val="en-US" w:eastAsia="zh-CN"/>
              </w:rPr>
            </w:pPr>
            <w:r>
              <w:rPr>
                <w:rFonts w:hint="eastAsia"/>
                <w:lang w:val="en-US" w:eastAsia="zh-CN"/>
              </w:rPr>
              <w:t>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5</w:t>
            </w:r>
          </w:p>
        </w:tc>
        <w:tc>
          <w:tcPr>
            <w:tcW w:w="3798" w:type="dxa"/>
            <w:tcBorders>
              <w:left w:val="single" w:sz="6" w:space="0" w:color="auto"/>
              <w:right w:val="single" w:sz="6" w:space="0" w:color="auto"/>
            </w:tcBorders>
            <w:vAlign w:val="center"/>
          </w:tcPr>
          <w:p>
            <w:pPr>
              <w:pStyle w:val="20"/>
              <w:ind w:firstLineChars="300" w:firstLine="630"/>
              <w:rPr>
                <w:rFonts w:eastAsia="方正书宋_GBK" w:hint="eastAsia"/>
                <w:lang w:val="en-US" w:eastAsia="zh-CN"/>
              </w:rPr>
            </w:pPr>
            <w:r>
              <w:rPr>
                <w:rFonts w:hint="eastAsia"/>
                <w:lang w:val="en-US" w:eastAsia="zh-CN"/>
              </w:rPr>
              <w:t>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6</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val="en-US" w:eastAsia="zh-CN"/>
              </w:rPr>
              <w:t>二、公务用车购置及运维费</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7</w:t>
            </w:r>
          </w:p>
        </w:tc>
        <w:tc>
          <w:tcPr>
            <w:tcW w:w="3798" w:type="dxa"/>
            <w:tcBorders>
              <w:left w:val="single" w:sz="6" w:space="0" w:color="auto"/>
              <w:right w:val="single" w:sz="6" w:space="0" w:color="auto"/>
            </w:tcBorders>
            <w:vAlign w:val="center"/>
          </w:tcPr>
          <w:p>
            <w:pPr>
              <w:pStyle w:val="20"/>
              <w:ind w:firstLineChars="100" w:firstLine="210"/>
              <w:rPr>
                <w:rFonts w:eastAsia="方正书宋_GBK"/>
                <w:lang w:val="en-US" w:eastAsia="zh-CN"/>
              </w:rPr>
            </w:pPr>
            <w:r>
              <w:rPr>
                <w:rFonts w:hint="eastAsia"/>
                <w:lang w:val="en-US" w:eastAsia="zh-CN"/>
              </w:rPr>
              <w:t>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8</w:t>
            </w:r>
          </w:p>
        </w:tc>
        <w:tc>
          <w:tcPr>
            <w:tcW w:w="3798" w:type="dxa"/>
            <w:tcBorders>
              <w:left w:val="single" w:sz="6" w:space="0" w:color="auto"/>
              <w:right w:val="single" w:sz="6" w:space="0" w:color="auto"/>
            </w:tcBorders>
            <w:vAlign w:val="center"/>
          </w:tcPr>
          <w:p>
            <w:pPr>
              <w:pStyle w:val="20"/>
              <w:ind w:firstLineChars="300" w:firstLine="630"/>
              <w:rPr>
                <w:rFonts w:eastAsia="方正书宋_GBK"/>
                <w:lang w:val="en-US" w:eastAsia="zh-CN"/>
              </w:rPr>
            </w:pPr>
            <w:r>
              <w:rPr>
                <w:rFonts w:hint="eastAsia"/>
                <w:lang w:val="en-US" w:eastAsia="zh-CN"/>
              </w:rPr>
              <w:t>公务用车运行维护费</w:t>
            </w:r>
          </w:p>
        </w:tc>
        <w:tc>
          <w:tcPr>
            <w:tcW w:w="2381" w:type="dxa"/>
            <w:tcBorders>
              <w:left w:val="single" w:sz="6" w:space="0" w:color="auto"/>
              <w:right w:val="single" w:sz="6" w:space="0" w:color="auto"/>
            </w:tcBorders>
            <w:vAlign w:val="center"/>
          </w:tcPr>
          <w:p>
            <w:pPr>
              <w:pStyle w:val="19"/>
              <w:rPr>
                <w:rFonts w:eastAsia="方正书宋_GBK"/>
                <w:lang w:val="en-US" w:eastAsia="zh-CN"/>
              </w:rPr>
            </w:pPr>
            <w:r>
              <w:rPr>
                <w:rFonts w:hint="eastAsia"/>
                <w:lang w:val="en-US" w:eastAsia="zh-CN"/>
              </w:rPr>
              <w:t>2.20</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9</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val="en-US" w:eastAsia="zh-CN"/>
              </w:rPr>
              <w:t>三、公务接待费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石家庄市藁城区应急管理局本级2025年单位预算信息公开情况说明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按照《中华人民共和国预算法》、《地方预决算公开操作规程》和《关于进一步推进预算公开工作的实施意见》规定，现将石家庄市藁城区应急管理局本级2025年单位预算公开如下：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石家庄市藁城区应急管理局本级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1296.30万元，其中：一般公共预算收入1123.49万元，基金预算收入0.00万元，国有资本经营预算收入0.00万元，财政专户核拨收入0.00万元，单位资金收入0.00万元，上年结转结余172.81万元。</w:t>
      </w:r>
    </w:p>
    <w:p>
      <w:pPr>
        <w:pStyle w:val="26"/>
      </w:pPr>
      <w:r>
        <w:t>2、支出说明</w:t>
      </w:r>
    </w:p>
    <w:p>
      <w:pPr>
        <w:pStyle w:val="26"/>
      </w:pPr>
      <w:r>
        <w:t>收支预算总表支出栏、基本支出表、项目支出表按经济分类和支出功能分类科目编制，反映石家庄市藁城区应急管理局本级年度单位预算中支出预算的总体情况。2025年支出预算1296.30万元，其中基本支出782.68万元，包括人员经费732.79万元和日常公用经费49.89万元；项目支出513.62万元，主要为安全生产监管经费，隐患排查经费，农房保险补贴、应急防汛等项目</w:t>
      </w:r>
    </w:p>
    <w:p>
      <w:pPr>
        <w:pStyle w:val="26"/>
      </w:pPr>
      <w:r>
        <w:t>3、比上年增减情况</w:t>
      </w:r>
    </w:p>
    <w:p>
      <w:pPr>
        <w:pStyle w:val="26"/>
      </w:pPr>
      <w:r>
        <w:t>2025年预算收支安排1296.30万元，较2024年预算增加208.58万元，其中：基本支出增加33.56万元，主要为项目主要增加了国债项目，基本支出是人员增加。项目支出增加175.02万元，主要为国债项目支出增加。</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2025年，我单位机关运行经费共计安排49.89万元，主要用于保证机关正常运转的办公及印刷费、邮电费、差旅费、福利费、日常维修费、公务车运行维护费等支出。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2025年，我单位</w:t>
      </w:r>
      <w:bookmarkStart w:id="1" w:name="_GoBack"/>
      <w:bookmarkEnd w:id="1"/>
      <w:r>
        <w:t>财政拨款“三公”经费预算安排2.20万元，其中：因公出国（境）费0万元，与上年持平，无增减变化；公务用车购置及运维费2.20万元（其中：公务用车购置费0万元，与上年持平，无增减变化；公务用车运行维护费2.20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1、安全生产监管经费绩效目标表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13010925P00000810071Q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安全生产监管经费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95.00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95.00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用于安全监管执法中的办公、租车等费用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20.00</w:t>
            </w:r>
          </w:p>
        </w:tc>
        <w:tc>
          <w:tcPr>
            <w:tcW w:w="2835" w:type="dxa"/>
            <w:tcBorders>
              <w:left w:val="single" w:sz="6" w:space="0" w:color="auto"/>
            </w:tcBorders>
            <w:vAlign w:val="center"/>
          </w:tcPr>
          <w:p>
            <w:pPr>
              <w:pStyle w:val="21"/>
            </w:pPr>
            <w:r>
              <w:t>60.00</w:t>
            </w:r>
          </w:p>
        </w:tc>
        <w:tc>
          <w:tcPr>
            <w:tcW w:w="2551" w:type="dxa"/>
            <w:tcBorders>
              <w:left w:val="single" w:sz="6" w:space="0" w:color="auto"/>
            </w:tcBorders>
            <w:vAlign w:val="center"/>
          </w:tcPr>
          <w:p>
            <w:pPr>
              <w:pStyle w:val="21"/>
            </w:pPr>
            <w:r>
              <w:t>80.00</w:t>
            </w:r>
          </w:p>
        </w:tc>
        <w:tc>
          <w:tcPr>
            <w:tcW w:w="3544" w:type="dxa"/>
            <w:gridSpan w:val="2"/>
            <w:tcBorders>
              <w:left w:val="single" w:sz="6" w:space="0" w:color="auto"/>
            </w:tcBorders>
            <w:vAlign w:val="center"/>
          </w:tcPr>
          <w:p>
            <w:pPr>
              <w:pStyle w:val="21"/>
            </w:pPr>
            <w:r>
              <w:t>95.00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1.开展安全生产执法检查活动，聘用安全专家参与隐患排查和执法检查活动。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完成安全监管执法、安全宣教任务数量</w:t>
            </w:r>
          </w:p>
        </w:tc>
        <w:tc>
          <w:tcPr>
            <w:tcW w:w="5386" w:type="dxa"/>
            <w:tcBorders>
              <w:left w:val="single" w:sz="6" w:space="0" w:color="auto"/>
            </w:tcBorders>
            <w:vAlign w:val="center"/>
          </w:tcPr>
          <w:p>
            <w:pPr>
              <w:pStyle w:val="20"/>
            </w:pPr>
            <w:r>
              <w:t>执法活动完成家次，印刷宣传资料数量、租用执法用车数量等</w:t>
            </w:r>
          </w:p>
        </w:tc>
        <w:tc>
          <w:tcPr>
            <w:tcW w:w="2268" w:type="dxa"/>
            <w:tcBorders>
              <w:left w:val="single" w:sz="6" w:space="0" w:color="auto"/>
            </w:tcBorders>
            <w:vAlign w:val="center"/>
          </w:tcPr>
          <w:p>
            <w:pPr>
              <w:pStyle w:val="20"/>
            </w:pPr>
            <w:r>
              <w:t>执法检查企业120家以上；印制培训宣教资料5万册；租用3辆车保证行政执法交通。</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检查企业立案率</w:t>
            </w:r>
          </w:p>
        </w:tc>
        <w:tc>
          <w:tcPr>
            <w:tcW w:w="5386" w:type="dxa"/>
            <w:tcBorders>
              <w:left w:val="single" w:sz="6" w:space="0" w:color="auto"/>
            </w:tcBorders>
            <w:vAlign w:val="center"/>
          </w:tcPr>
          <w:p>
            <w:pPr>
              <w:pStyle w:val="20"/>
            </w:pPr>
            <w:r>
              <w:t>立案企业家数占检查企业总数的比率</w:t>
            </w:r>
          </w:p>
        </w:tc>
        <w:tc>
          <w:tcPr>
            <w:tcW w:w="2268" w:type="dxa"/>
            <w:tcBorders>
              <w:left w:val="single" w:sz="6" w:space="0" w:color="auto"/>
            </w:tcBorders>
            <w:vAlign w:val="center"/>
          </w:tcPr>
          <w:p>
            <w:pPr>
              <w:pStyle w:val="20"/>
            </w:pPr>
            <w:r>
              <w:t>≥40%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执法完成进度</w:t>
            </w:r>
          </w:p>
        </w:tc>
        <w:tc>
          <w:tcPr>
            <w:tcW w:w="5386" w:type="dxa"/>
            <w:tcBorders>
              <w:left w:val="single" w:sz="6" w:space="0" w:color="auto"/>
            </w:tcBorders>
            <w:vAlign w:val="center"/>
          </w:tcPr>
          <w:p>
            <w:pPr>
              <w:pStyle w:val="20"/>
            </w:pPr>
            <w:r>
              <w:t>根据年初计划完成执法任务</w:t>
            </w:r>
          </w:p>
        </w:tc>
        <w:tc>
          <w:tcPr>
            <w:tcW w:w="2268" w:type="dxa"/>
            <w:tcBorders>
              <w:left w:val="single" w:sz="6" w:space="0" w:color="auto"/>
            </w:tcBorders>
            <w:vAlign w:val="center"/>
          </w:tcPr>
          <w:p>
            <w:pPr>
              <w:pStyle w:val="20"/>
            </w:pPr>
            <w:r>
              <w:t>6月底完成60%，10月底完成90%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平均每家企业执法成本，每册印刷品成本，租用车辆费用，</w:t>
            </w:r>
          </w:p>
        </w:tc>
        <w:tc>
          <w:tcPr>
            <w:tcW w:w="2268" w:type="dxa"/>
            <w:tcBorders>
              <w:left w:val="single" w:sz="6" w:space="0" w:color="auto"/>
            </w:tcBorders>
            <w:vAlign w:val="center"/>
          </w:tcPr>
          <w:p>
            <w:pPr>
              <w:pStyle w:val="20"/>
            </w:pPr>
            <w:r>
              <w:t>平均每家企业执法成本≦300元，每册印刷品成本≦2元，每辆车每日租金≦140元。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全区安全形势稳定</w:t>
            </w:r>
          </w:p>
        </w:tc>
        <w:tc>
          <w:tcPr>
            <w:tcW w:w="5386" w:type="dxa"/>
            <w:tcBorders>
              <w:left w:val="single" w:sz="6" w:space="0" w:color="auto"/>
            </w:tcBorders>
            <w:vAlign w:val="center"/>
          </w:tcPr>
          <w:p>
            <w:pPr>
              <w:pStyle w:val="20"/>
            </w:pPr>
            <w:r>
              <w:t>全区不发生产生产安全事故。</w:t>
            </w:r>
          </w:p>
        </w:tc>
        <w:tc>
          <w:tcPr>
            <w:tcW w:w="2268" w:type="dxa"/>
            <w:tcBorders>
              <w:left w:val="single" w:sz="6" w:space="0" w:color="auto"/>
            </w:tcBorders>
            <w:vAlign w:val="center"/>
          </w:tcPr>
          <w:p>
            <w:pPr>
              <w:pStyle w:val="20"/>
            </w:pPr>
            <w:r>
              <w:t>在上级安全生产年度考核中取得优秀成绩。</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安全生产企业满意度</w:t>
            </w:r>
          </w:p>
        </w:tc>
        <w:tc>
          <w:tcPr>
            <w:tcW w:w="5386" w:type="dxa"/>
            <w:tcBorders>
              <w:left w:val="single" w:sz="6" w:space="0" w:color="auto"/>
            </w:tcBorders>
            <w:vAlign w:val="center"/>
          </w:tcPr>
          <w:p>
            <w:pPr>
              <w:pStyle w:val="20"/>
            </w:pPr>
            <w:r>
              <w:t>安全生产企业中对执法工作、安全培训满意的数量占企业总数的百分比</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2、地震观测人员补助绩效目标表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13010925P000008100705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地震观测人员补助</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0.80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0.80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监测人员工资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0.80</w:t>
            </w:r>
          </w:p>
        </w:tc>
        <w:tc>
          <w:tcPr>
            <w:tcW w:w="3544" w:type="dxa"/>
            <w:gridSpan w:val="2"/>
            <w:tcBorders>
              <w:left w:val="single" w:sz="6" w:space="0" w:color="auto"/>
            </w:tcBorders>
            <w:vAlign w:val="center"/>
          </w:tcPr>
          <w:p>
            <w:pPr>
              <w:pStyle w:val="21"/>
            </w:pPr>
            <w:r>
              <w:t>0.80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1.监测梅花井地震数据，保证正常运转并按时上报情况。</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观测数据</w:t>
            </w:r>
          </w:p>
        </w:tc>
        <w:tc>
          <w:tcPr>
            <w:tcW w:w="5386" w:type="dxa"/>
            <w:tcBorders>
              <w:left w:val="single" w:sz="6" w:space="0" w:color="auto"/>
            </w:tcBorders>
            <w:vAlign w:val="center"/>
          </w:tcPr>
          <w:p>
            <w:pPr>
              <w:pStyle w:val="20"/>
            </w:pPr>
            <w:r>
              <w:t>全年保证每小时监测一个数据</w:t>
            </w:r>
          </w:p>
        </w:tc>
        <w:tc>
          <w:tcPr>
            <w:tcW w:w="2268" w:type="dxa"/>
            <w:tcBorders>
              <w:left w:val="single" w:sz="6" w:space="0" w:color="auto"/>
            </w:tcBorders>
            <w:vAlign w:val="center"/>
          </w:tcPr>
          <w:p>
            <w:pPr>
              <w:pStyle w:val="20"/>
            </w:pPr>
            <w:r>
              <w:t>8760</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数据准确性</w:t>
            </w:r>
          </w:p>
        </w:tc>
        <w:tc>
          <w:tcPr>
            <w:tcW w:w="5386" w:type="dxa"/>
            <w:tcBorders>
              <w:left w:val="single" w:sz="6" w:space="0" w:color="auto"/>
            </w:tcBorders>
            <w:vAlign w:val="center"/>
          </w:tcPr>
          <w:p>
            <w:pPr>
              <w:pStyle w:val="20"/>
            </w:pPr>
            <w:r>
              <w:t>地震监测数据准确</w:t>
            </w:r>
          </w:p>
        </w:tc>
        <w:tc>
          <w:tcPr>
            <w:tcW w:w="2268" w:type="dxa"/>
            <w:tcBorders>
              <w:left w:val="single" w:sz="6" w:space="0" w:color="auto"/>
            </w:tcBorders>
            <w:vAlign w:val="center"/>
          </w:tcPr>
          <w:p>
            <w:pPr>
              <w:pStyle w:val="20"/>
            </w:pPr>
            <w:r>
              <w:t>读图准确，不出错误。</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数据及时性</w:t>
            </w:r>
          </w:p>
        </w:tc>
        <w:tc>
          <w:tcPr>
            <w:tcW w:w="5386" w:type="dxa"/>
            <w:tcBorders>
              <w:left w:val="single" w:sz="6" w:space="0" w:color="auto"/>
            </w:tcBorders>
            <w:vAlign w:val="center"/>
          </w:tcPr>
          <w:p>
            <w:pPr>
              <w:pStyle w:val="20"/>
            </w:pPr>
            <w:r>
              <w:t>数据上报要及时</w:t>
            </w:r>
          </w:p>
        </w:tc>
        <w:tc>
          <w:tcPr>
            <w:tcW w:w="2268" w:type="dxa"/>
            <w:tcBorders>
              <w:left w:val="single" w:sz="6" w:space="0" w:color="auto"/>
            </w:tcBorders>
            <w:vAlign w:val="center"/>
          </w:tcPr>
          <w:p>
            <w:pPr>
              <w:pStyle w:val="20"/>
            </w:pPr>
            <w:r>
              <w:t>每天按时上报</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数据成本</w:t>
            </w:r>
          </w:p>
        </w:tc>
        <w:tc>
          <w:tcPr>
            <w:tcW w:w="5386" w:type="dxa"/>
            <w:tcBorders>
              <w:left w:val="single" w:sz="6" w:space="0" w:color="auto"/>
            </w:tcBorders>
            <w:vAlign w:val="center"/>
          </w:tcPr>
          <w:p>
            <w:pPr>
              <w:pStyle w:val="20"/>
            </w:pPr>
            <w:r>
              <w:t>平均监测每个数据的成本</w:t>
            </w:r>
          </w:p>
        </w:tc>
        <w:tc>
          <w:tcPr>
            <w:tcW w:w="2268" w:type="dxa"/>
            <w:tcBorders>
              <w:left w:val="single" w:sz="6" w:space="0" w:color="auto"/>
            </w:tcBorders>
            <w:vAlign w:val="center"/>
          </w:tcPr>
          <w:p>
            <w:pPr>
              <w:pStyle w:val="20"/>
            </w:pPr>
            <w:r>
              <w:t>≤1元/个</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地震监测预警</w:t>
            </w:r>
          </w:p>
        </w:tc>
        <w:tc>
          <w:tcPr>
            <w:tcW w:w="5386" w:type="dxa"/>
            <w:tcBorders>
              <w:left w:val="single" w:sz="6" w:space="0" w:color="auto"/>
            </w:tcBorders>
            <w:vAlign w:val="center"/>
          </w:tcPr>
          <w:p>
            <w:pPr>
              <w:pStyle w:val="20"/>
            </w:pPr>
            <w:r>
              <w:t>有效预测地震发生概率和级别</w:t>
            </w:r>
          </w:p>
        </w:tc>
        <w:tc>
          <w:tcPr>
            <w:tcW w:w="2268" w:type="dxa"/>
            <w:tcBorders>
              <w:left w:val="single" w:sz="6" w:space="0" w:color="auto"/>
            </w:tcBorders>
            <w:vAlign w:val="center"/>
          </w:tcPr>
          <w:p>
            <w:pPr>
              <w:pStyle w:val="20"/>
            </w:pPr>
            <w:r>
              <w:t>为地震监测预警提供数据支撑</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群众满意度</w:t>
            </w:r>
          </w:p>
        </w:tc>
        <w:tc>
          <w:tcPr>
            <w:tcW w:w="5386" w:type="dxa"/>
            <w:tcBorders>
              <w:left w:val="single" w:sz="6" w:space="0" w:color="auto"/>
            </w:tcBorders>
            <w:vAlign w:val="center"/>
          </w:tcPr>
          <w:p>
            <w:pPr>
              <w:pStyle w:val="20"/>
            </w:pPr>
            <w:r>
              <w:t>表示满意的群众/调查群众总数</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3、河北省自然灾害应急能力提升工程预警指挥项目国债项目县级配套绩效目标表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13010925P00000810603L</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河北省自然灾害应急能力提升工程预警指挥项目国债项目县级配套</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8.20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8.20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指挥中心设备购置及维护</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w:t>
            </w:r>
          </w:p>
        </w:tc>
        <w:tc>
          <w:tcPr>
            <w:tcW w:w="2835" w:type="dxa"/>
            <w:tcBorders>
              <w:left w:val="single" w:sz="6" w:space="0" w:color="auto"/>
            </w:tcBorders>
            <w:vAlign w:val="center"/>
          </w:tcPr>
          <w:p>
            <w:pPr>
              <w:pStyle w:val="21"/>
            </w:pPr>
            <w:r>
              <w:t>6.00</w:t>
            </w:r>
          </w:p>
        </w:tc>
        <w:tc>
          <w:tcPr>
            <w:tcW w:w="2551" w:type="dxa"/>
            <w:tcBorders>
              <w:left w:val="single" w:sz="6" w:space="0" w:color="auto"/>
            </w:tcBorders>
            <w:vAlign w:val="center"/>
          </w:tcPr>
          <w:p>
            <w:pPr>
              <w:pStyle w:val="21"/>
            </w:pPr>
            <w:r>
              <w:t>8.20</w:t>
            </w:r>
          </w:p>
        </w:tc>
        <w:tc>
          <w:tcPr>
            <w:tcW w:w="3544" w:type="dxa"/>
            <w:gridSpan w:val="2"/>
            <w:tcBorders>
              <w:left w:val="single" w:sz="6" w:space="0" w:color="auto"/>
            </w:tcBorders>
            <w:vAlign w:val="center"/>
          </w:tcPr>
          <w:p>
            <w:pPr>
              <w:pStyle w:val="21"/>
            </w:pPr>
            <w:r>
              <w:t>8.20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1.完善指挥中心改造，提升藁城区自然灾害应急能力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设备数量</w:t>
            </w:r>
          </w:p>
        </w:tc>
        <w:tc>
          <w:tcPr>
            <w:tcW w:w="5386" w:type="dxa"/>
            <w:tcBorders>
              <w:left w:val="single" w:sz="6" w:space="0" w:color="auto"/>
            </w:tcBorders>
            <w:vAlign w:val="center"/>
          </w:tcPr>
          <w:p>
            <w:pPr>
              <w:pStyle w:val="20"/>
            </w:pPr>
            <w:r>
              <w:t>配备指挥中心设备数量</w:t>
            </w:r>
          </w:p>
        </w:tc>
        <w:tc>
          <w:tcPr>
            <w:tcW w:w="2268" w:type="dxa"/>
            <w:tcBorders>
              <w:left w:val="single" w:sz="6" w:space="0" w:color="auto"/>
            </w:tcBorders>
            <w:vAlign w:val="center"/>
          </w:tcPr>
          <w:p>
            <w:pPr>
              <w:pStyle w:val="20"/>
            </w:pPr>
            <w:r>
              <w:t>11台</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全天候线上监管</w:t>
            </w:r>
          </w:p>
        </w:tc>
        <w:tc>
          <w:tcPr>
            <w:tcW w:w="5386" w:type="dxa"/>
            <w:tcBorders>
              <w:left w:val="single" w:sz="6" w:space="0" w:color="auto"/>
            </w:tcBorders>
            <w:vAlign w:val="center"/>
          </w:tcPr>
          <w:p>
            <w:pPr>
              <w:pStyle w:val="20"/>
            </w:pPr>
            <w:r>
              <w:t>指挥中心全天候线上监管</w:t>
            </w:r>
          </w:p>
        </w:tc>
        <w:tc>
          <w:tcPr>
            <w:tcW w:w="2268" w:type="dxa"/>
            <w:tcBorders>
              <w:left w:val="single" w:sz="6" w:space="0" w:color="auto"/>
            </w:tcBorders>
            <w:vAlign w:val="center"/>
          </w:tcPr>
          <w:p>
            <w:pPr>
              <w:pStyle w:val="20"/>
            </w:pPr>
            <w:r>
              <w:t>监控系统可实现多级实时互联</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完成时限</w:t>
            </w:r>
          </w:p>
        </w:tc>
        <w:tc>
          <w:tcPr>
            <w:tcW w:w="5386" w:type="dxa"/>
            <w:tcBorders>
              <w:left w:val="single" w:sz="6" w:space="0" w:color="auto"/>
            </w:tcBorders>
            <w:vAlign w:val="center"/>
          </w:tcPr>
          <w:p>
            <w:pPr>
              <w:pStyle w:val="20"/>
            </w:pPr>
            <w:r>
              <w:t>指挥中心完成改造时间</w:t>
            </w:r>
          </w:p>
        </w:tc>
        <w:tc>
          <w:tcPr>
            <w:tcW w:w="2268" w:type="dxa"/>
            <w:tcBorders>
              <w:left w:val="single" w:sz="6" w:space="0" w:color="auto"/>
            </w:tcBorders>
            <w:vAlign w:val="center"/>
          </w:tcPr>
          <w:p>
            <w:pPr>
              <w:pStyle w:val="20"/>
            </w:pPr>
            <w:r>
              <w:t>11月-12月</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建设成本</w:t>
            </w:r>
          </w:p>
        </w:tc>
        <w:tc>
          <w:tcPr>
            <w:tcW w:w="5386" w:type="dxa"/>
            <w:tcBorders>
              <w:left w:val="single" w:sz="6" w:space="0" w:color="auto"/>
            </w:tcBorders>
            <w:vAlign w:val="center"/>
          </w:tcPr>
          <w:p>
            <w:pPr>
              <w:pStyle w:val="20"/>
            </w:pPr>
            <w:r>
              <w:t>显示设备、多模终端及改造成本</w:t>
            </w:r>
          </w:p>
        </w:tc>
        <w:tc>
          <w:tcPr>
            <w:tcW w:w="2268" w:type="dxa"/>
            <w:tcBorders>
              <w:left w:val="single" w:sz="6" w:space="0" w:color="auto"/>
            </w:tcBorders>
            <w:vAlign w:val="center"/>
          </w:tcPr>
          <w:p>
            <w:pPr>
              <w:pStyle w:val="20"/>
            </w:pPr>
            <w:r>
              <w:t>显示设备2万元/台，多模终端0.45万元/台，改造费用60万元。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指挥中心运行情况</w:t>
            </w:r>
          </w:p>
        </w:tc>
        <w:tc>
          <w:tcPr>
            <w:tcW w:w="5386" w:type="dxa"/>
            <w:tcBorders>
              <w:left w:val="single" w:sz="6" w:space="0" w:color="auto"/>
            </w:tcBorders>
            <w:vAlign w:val="center"/>
          </w:tcPr>
          <w:p>
            <w:pPr>
              <w:pStyle w:val="20"/>
            </w:pPr>
            <w:r>
              <w:t>实时对全区自然灾害情况进行监控的水平</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用户满意度</w:t>
            </w:r>
          </w:p>
        </w:tc>
        <w:tc>
          <w:tcPr>
            <w:tcW w:w="5386" w:type="dxa"/>
            <w:tcBorders>
              <w:left w:val="single" w:sz="6" w:space="0" w:color="auto"/>
            </w:tcBorders>
            <w:vAlign w:val="center"/>
          </w:tcPr>
          <w:p>
            <w:pPr>
              <w:pStyle w:val="20"/>
            </w:pPr>
            <w:r>
              <w:t>对指挥中心较为满意的用户数占总用户数的比率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4、劳务派遣人员工资绩效目标表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13010925P00000810072C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劳务派遣人员工资</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发放劳务派遣人员工资，缴纳社保费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10.00</w:t>
            </w:r>
          </w:p>
        </w:tc>
        <w:tc>
          <w:tcPr>
            <w:tcW w:w="2835" w:type="dxa"/>
            <w:tcBorders>
              <w:left w:val="single" w:sz="6" w:space="0" w:color="auto"/>
            </w:tcBorders>
            <w:vAlign w:val="center"/>
          </w:tcPr>
          <w:p>
            <w:pPr>
              <w:pStyle w:val="21"/>
            </w:pPr>
            <w:r>
              <w:t>20.00</w:t>
            </w:r>
          </w:p>
        </w:tc>
        <w:tc>
          <w:tcPr>
            <w:tcW w:w="2551" w:type="dxa"/>
            <w:tcBorders>
              <w:left w:val="single" w:sz="6" w:space="0" w:color="auto"/>
            </w:tcBorders>
            <w:vAlign w:val="center"/>
          </w:tcPr>
          <w:p>
            <w:pPr>
              <w:pStyle w:val="21"/>
            </w:pPr>
            <w:r>
              <w:t>30.00</w:t>
            </w:r>
          </w:p>
        </w:tc>
        <w:tc>
          <w:tcPr>
            <w:tcW w:w="3544" w:type="dxa"/>
            <w:gridSpan w:val="2"/>
            <w:tcBorders>
              <w:left w:val="single" w:sz="6" w:space="0" w:color="auto"/>
            </w:tcBorders>
            <w:vAlign w:val="center"/>
          </w:tcPr>
          <w:p>
            <w:pPr>
              <w:pStyle w:val="21"/>
            </w:pPr>
            <w:r>
              <w:t>36.00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1.根据派遣公司明细发放劳务派遣人员工资，保证人员劳动报酬。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保障人数</w:t>
            </w:r>
          </w:p>
        </w:tc>
        <w:tc>
          <w:tcPr>
            <w:tcW w:w="5386" w:type="dxa"/>
            <w:tcBorders>
              <w:left w:val="single" w:sz="6" w:space="0" w:color="auto"/>
            </w:tcBorders>
            <w:vAlign w:val="center"/>
          </w:tcPr>
          <w:p>
            <w:pPr>
              <w:pStyle w:val="20"/>
            </w:pPr>
            <w:r>
              <w:t>发放劳务派遣工资人数</w:t>
            </w:r>
          </w:p>
        </w:tc>
        <w:tc>
          <w:tcPr>
            <w:tcW w:w="2268" w:type="dxa"/>
            <w:tcBorders>
              <w:left w:val="single" w:sz="6" w:space="0" w:color="auto"/>
            </w:tcBorders>
            <w:vAlign w:val="center"/>
          </w:tcPr>
          <w:p>
            <w:pPr>
              <w:pStyle w:val="20"/>
            </w:pPr>
            <w:r>
              <w:t>7人</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发放标准</w:t>
            </w:r>
          </w:p>
        </w:tc>
        <w:tc>
          <w:tcPr>
            <w:tcW w:w="5386" w:type="dxa"/>
            <w:tcBorders>
              <w:left w:val="single" w:sz="6" w:space="0" w:color="auto"/>
            </w:tcBorders>
            <w:vAlign w:val="center"/>
          </w:tcPr>
          <w:p>
            <w:pPr>
              <w:pStyle w:val="20"/>
            </w:pPr>
            <w:r>
              <w:t>足额发放劳务派遣工资</w:t>
            </w:r>
          </w:p>
        </w:tc>
        <w:tc>
          <w:tcPr>
            <w:tcW w:w="2268" w:type="dxa"/>
            <w:tcBorders>
              <w:left w:val="single" w:sz="6" w:space="0" w:color="auto"/>
            </w:tcBorders>
            <w:vAlign w:val="center"/>
          </w:tcPr>
          <w:p>
            <w:pPr>
              <w:pStyle w:val="20"/>
            </w:pPr>
            <w:r>
              <w:t>根据劳务派遣提供明细，每月足额发放</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工资及时性</w:t>
            </w:r>
          </w:p>
        </w:tc>
        <w:tc>
          <w:tcPr>
            <w:tcW w:w="5386" w:type="dxa"/>
            <w:tcBorders>
              <w:left w:val="single" w:sz="6" w:space="0" w:color="auto"/>
            </w:tcBorders>
            <w:vAlign w:val="center"/>
          </w:tcPr>
          <w:p>
            <w:pPr>
              <w:pStyle w:val="20"/>
            </w:pPr>
            <w:r>
              <w:t>按时发放工资</w:t>
            </w:r>
          </w:p>
        </w:tc>
        <w:tc>
          <w:tcPr>
            <w:tcW w:w="2268" w:type="dxa"/>
            <w:tcBorders>
              <w:left w:val="single" w:sz="6" w:space="0" w:color="auto"/>
            </w:tcBorders>
            <w:vAlign w:val="center"/>
          </w:tcPr>
          <w:p>
            <w:pPr>
              <w:pStyle w:val="20"/>
            </w:pPr>
            <w:r>
              <w:t>每月15日前发放工资</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劳务派遣人员工资标准</w:t>
            </w:r>
          </w:p>
        </w:tc>
        <w:tc>
          <w:tcPr>
            <w:tcW w:w="2268" w:type="dxa"/>
            <w:tcBorders>
              <w:left w:val="single" w:sz="6" w:space="0" w:color="auto"/>
            </w:tcBorders>
            <w:vAlign w:val="center"/>
          </w:tcPr>
          <w:p>
            <w:pPr>
              <w:pStyle w:val="20"/>
            </w:pPr>
            <w:r>
              <w:t>不超我区最低工资标准1.5倍</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保障劳动者权益</w:t>
            </w:r>
          </w:p>
        </w:tc>
        <w:tc>
          <w:tcPr>
            <w:tcW w:w="5386" w:type="dxa"/>
            <w:tcBorders>
              <w:left w:val="single" w:sz="6" w:space="0" w:color="auto"/>
            </w:tcBorders>
            <w:vAlign w:val="center"/>
          </w:tcPr>
          <w:p>
            <w:pPr>
              <w:pStyle w:val="20"/>
            </w:pPr>
            <w:r>
              <w:t>为劳务派遣人员提供稳定的收入来源，更好地生活和投入工作</w:t>
            </w:r>
          </w:p>
        </w:tc>
        <w:tc>
          <w:tcPr>
            <w:tcW w:w="2268" w:type="dxa"/>
            <w:tcBorders>
              <w:left w:val="single" w:sz="6" w:space="0" w:color="auto"/>
            </w:tcBorders>
            <w:vAlign w:val="center"/>
          </w:tcPr>
          <w:p>
            <w:pPr>
              <w:pStyle w:val="20"/>
            </w:pPr>
            <w:r>
              <w:t>较上年上升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劳务派遣员人员满意度</w:t>
            </w:r>
          </w:p>
        </w:tc>
        <w:tc>
          <w:tcPr>
            <w:tcW w:w="5386" w:type="dxa"/>
            <w:tcBorders>
              <w:left w:val="single" w:sz="6" w:space="0" w:color="auto"/>
            </w:tcBorders>
            <w:vAlign w:val="center"/>
          </w:tcPr>
          <w:p>
            <w:pPr>
              <w:pStyle w:val="20"/>
            </w:pPr>
            <w:r>
              <w:t>对工资表示满意的劳务派遣人员的比率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5、全区安全隐患排查经费绩效目标表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13010925P000008100730</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全区安全隐患排查经费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专家费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10.00</w:t>
            </w:r>
          </w:p>
        </w:tc>
        <w:tc>
          <w:tcPr>
            <w:tcW w:w="2835" w:type="dxa"/>
            <w:tcBorders>
              <w:left w:val="single" w:sz="6" w:space="0" w:color="auto"/>
            </w:tcBorders>
            <w:vAlign w:val="center"/>
          </w:tcPr>
          <w:p>
            <w:pPr>
              <w:pStyle w:val="21"/>
            </w:pPr>
            <w:r>
              <w:t>25.00</w:t>
            </w:r>
          </w:p>
        </w:tc>
        <w:tc>
          <w:tcPr>
            <w:tcW w:w="2551" w:type="dxa"/>
            <w:tcBorders>
              <w:left w:val="single" w:sz="6" w:space="0" w:color="auto"/>
            </w:tcBorders>
            <w:vAlign w:val="center"/>
          </w:tcPr>
          <w:p>
            <w:pPr>
              <w:pStyle w:val="21"/>
            </w:pPr>
            <w:r>
              <w:t>36.00</w:t>
            </w:r>
          </w:p>
        </w:tc>
        <w:tc>
          <w:tcPr>
            <w:tcW w:w="3544" w:type="dxa"/>
            <w:gridSpan w:val="2"/>
            <w:tcBorders>
              <w:left w:val="single" w:sz="6" w:space="0" w:color="auto"/>
            </w:tcBorders>
            <w:vAlign w:val="center"/>
          </w:tcPr>
          <w:p>
            <w:pPr>
              <w:pStyle w:val="21"/>
            </w:pPr>
            <w:r>
              <w:t>40.00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1.聘请安全生产专业服务公司及专家团队对全区危化、工贸行业领域开展专家查隐患工作，切实发现解决企业深层次存在隐患，并有效治理。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企业隐患排查数</w:t>
            </w:r>
          </w:p>
        </w:tc>
        <w:tc>
          <w:tcPr>
            <w:tcW w:w="5386" w:type="dxa"/>
            <w:tcBorders>
              <w:left w:val="single" w:sz="6" w:space="0" w:color="auto"/>
            </w:tcBorders>
            <w:vAlign w:val="center"/>
          </w:tcPr>
          <w:p>
            <w:pPr>
              <w:pStyle w:val="20"/>
            </w:pPr>
            <w:r>
              <w:t>利用专家进行指导帮扶的企业数</w:t>
            </w:r>
          </w:p>
        </w:tc>
        <w:tc>
          <w:tcPr>
            <w:tcW w:w="2268" w:type="dxa"/>
            <w:tcBorders>
              <w:left w:val="single" w:sz="6" w:space="0" w:color="auto"/>
            </w:tcBorders>
            <w:vAlign w:val="center"/>
          </w:tcPr>
          <w:p>
            <w:pPr>
              <w:pStyle w:val="20"/>
            </w:pPr>
            <w:r>
              <w:t>≥181家</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问题整改合格率</w:t>
            </w:r>
          </w:p>
        </w:tc>
        <w:tc>
          <w:tcPr>
            <w:tcW w:w="5386" w:type="dxa"/>
            <w:tcBorders>
              <w:left w:val="single" w:sz="6" w:space="0" w:color="auto"/>
            </w:tcBorders>
            <w:vAlign w:val="center"/>
          </w:tcPr>
          <w:p>
            <w:pPr>
              <w:pStyle w:val="20"/>
            </w:pPr>
            <w:r>
              <w:t>企业整改隐患数量占排查隐患总数的比重</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检查完成时间</w:t>
            </w:r>
          </w:p>
        </w:tc>
        <w:tc>
          <w:tcPr>
            <w:tcW w:w="5386" w:type="dxa"/>
            <w:tcBorders>
              <w:left w:val="single" w:sz="6" w:space="0" w:color="auto"/>
            </w:tcBorders>
            <w:vAlign w:val="center"/>
          </w:tcPr>
          <w:p>
            <w:pPr>
              <w:pStyle w:val="20"/>
            </w:pPr>
            <w:r>
              <w:t>专家隐患排查工作完成时间</w:t>
            </w:r>
          </w:p>
        </w:tc>
        <w:tc>
          <w:tcPr>
            <w:tcW w:w="2268" w:type="dxa"/>
            <w:tcBorders>
              <w:left w:val="single" w:sz="6" w:space="0" w:color="auto"/>
            </w:tcBorders>
            <w:vAlign w:val="center"/>
          </w:tcPr>
          <w:p>
            <w:pPr>
              <w:pStyle w:val="20"/>
            </w:pPr>
            <w:r>
              <w:t>12月度</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每标段成本</w:t>
            </w:r>
          </w:p>
        </w:tc>
        <w:tc>
          <w:tcPr>
            <w:tcW w:w="5386" w:type="dxa"/>
            <w:tcBorders>
              <w:left w:val="single" w:sz="6" w:space="0" w:color="auto"/>
            </w:tcBorders>
            <w:vAlign w:val="center"/>
          </w:tcPr>
          <w:p>
            <w:pPr>
              <w:pStyle w:val="20"/>
            </w:pPr>
            <w:r>
              <w:t>平均每标段成本</w:t>
            </w:r>
          </w:p>
        </w:tc>
        <w:tc>
          <w:tcPr>
            <w:tcW w:w="2268" w:type="dxa"/>
            <w:tcBorders>
              <w:left w:val="single" w:sz="6" w:space="0" w:color="auto"/>
            </w:tcBorders>
            <w:vAlign w:val="center"/>
          </w:tcPr>
          <w:p>
            <w:pPr>
              <w:pStyle w:val="20"/>
            </w:pPr>
            <w:r>
              <w:t>≤20万元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降低事故发生率</w:t>
            </w:r>
          </w:p>
        </w:tc>
        <w:tc>
          <w:tcPr>
            <w:tcW w:w="5386" w:type="dxa"/>
            <w:tcBorders>
              <w:left w:val="single" w:sz="6" w:space="0" w:color="auto"/>
            </w:tcBorders>
            <w:vAlign w:val="center"/>
          </w:tcPr>
          <w:p>
            <w:pPr>
              <w:pStyle w:val="20"/>
            </w:pPr>
            <w:r>
              <w:t>通过专家隐患排查工作降低企业安全生产事故发生</w:t>
            </w:r>
          </w:p>
        </w:tc>
        <w:tc>
          <w:tcPr>
            <w:tcW w:w="2268" w:type="dxa"/>
            <w:tcBorders>
              <w:left w:val="single" w:sz="6" w:space="0" w:color="auto"/>
            </w:tcBorders>
            <w:vAlign w:val="center"/>
          </w:tcPr>
          <w:p>
            <w:pPr>
              <w:pStyle w:val="20"/>
            </w:pPr>
            <w:r>
              <w:t>0家</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企业的满意度</w:t>
            </w:r>
          </w:p>
        </w:tc>
        <w:tc>
          <w:tcPr>
            <w:tcW w:w="5386" w:type="dxa"/>
            <w:tcBorders>
              <w:left w:val="single" w:sz="6" w:space="0" w:color="auto"/>
            </w:tcBorders>
            <w:vAlign w:val="center"/>
          </w:tcPr>
          <w:p>
            <w:pPr>
              <w:pStyle w:val="20"/>
            </w:pPr>
            <w:r>
              <w:t>企业对专家隐患排查工作的满意度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6、全区农房保险补贴资金绩效目标表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13010925P00000810156C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全区农房保险补贴资金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35.28</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35.28</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农房保险县级配套资金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35.28</w:t>
            </w:r>
          </w:p>
        </w:tc>
        <w:tc>
          <w:tcPr>
            <w:tcW w:w="2835" w:type="dxa"/>
            <w:tcBorders>
              <w:left w:val="single" w:sz="6" w:space="0" w:color="auto"/>
            </w:tcBorders>
            <w:vAlign w:val="center"/>
          </w:tcPr>
          <w:p>
            <w:pPr>
              <w:pStyle w:val="21"/>
            </w:pPr>
            <w:r>
              <w:t>35.21</w:t>
            </w:r>
          </w:p>
        </w:tc>
        <w:tc>
          <w:tcPr>
            <w:tcW w:w="2551" w:type="dxa"/>
            <w:tcBorders>
              <w:left w:val="single" w:sz="6" w:space="0" w:color="auto"/>
            </w:tcBorders>
            <w:vAlign w:val="center"/>
          </w:tcPr>
          <w:p>
            <w:pPr>
              <w:pStyle w:val="21"/>
            </w:pPr>
            <w:r>
              <w:t>35.28</w:t>
            </w:r>
          </w:p>
        </w:tc>
        <w:tc>
          <w:tcPr>
            <w:tcW w:w="3544" w:type="dxa"/>
            <w:gridSpan w:val="2"/>
            <w:tcBorders>
              <w:left w:val="single" w:sz="6" w:space="0" w:color="auto"/>
            </w:tcBorders>
            <w:vAlign w:val="center"/>
          </w:tcPr>
          <w:p>
            <w:pPr>
              <w:pStyle w:val="21"/>
            </w:pPr>
            <w:r>
              <w:t>35.28</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1.使因自然灾害倒损的农房得到保险公司快速理赔</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保险覆盖面</w:t>
            </w:r>
          </w:p>
        </w:tc>
        <w:tc>
          <w:tcPr>
            <w:tcW w:w="5386" w:type="dxa"/>
            <w:tcBorders>
              <w:left w:val="single" w:sz="6" w:space="0" w:color="auto"/>
            </w:tcBorders>
            <w:vAlign w:val="center"/>
          </w:tcPr>
          <w:p>
            <w:pPr>
              <w:pStyle w:val="20"/>
            </w:pPr>
            <w:r>
              <w:t>保险覆盖农户数量</w:t>
            </w:r>
          </w:p>
        </w:tc>
        <w:tc>
          <w:tcPr>
            <w:tcW w:w="2268" w:type="dxa"/>
            <w:tcBorders>
              <w:left w:val="single" w:sz="6" w:space="0" w:color="auto"/>
            </w:tcBorders>
            <w:vAlign w:val="center"/>
          </w:tcPr>
          <w:p>
            <w:pPr>
              <w:pStyle w:val="20"/>
            </w:pPr>
            <w:r>
              <w:t>176386户</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理赔标准执行率</w:t>
            </w:r>
          </w:p>
        </w:tc>
        <w:tc>
          <w:tcPr>
            <w:tcW w:w="5386" w:type="dxa"/>
            <w:tcBorders>
              <w:left w:val="single" w:sz="6" w:space="0" w:color="auto"/>
            </w:tcBorders>
            <w:vAlign w:val="center"/>
          </w:tcPr>
          <w:p>
            <w:pPr>
              <w:pStyle w:val="20"/>
            </w:pPr>
            <w:r>
              <w:t>保险实际理赔金额占应当理赔的总金额的比率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理赔时间</w:t>
            </w:r>
          </w:p>
        </w:tc>
        <w:tc>
          <w:tcPr>
            <w:tcW w:w="5386" w:type="dxa"/>
            <w:tcBorders>
              <w:left w:val="single" w:sz="6" w:space="0" w:color="auto"/>
            </w:tcBorders>
            <w:vAlign w:val="center"/>
          </w:tcPr>
          <w:p>
            <w:pPr>
              <w:pStyle w:val="20"/>
            </w:pPr>
            <w:r>
              <w:t>快速理赔</w:t>
            </w:r>
          </w:p>
        </w:tc>
        <w:tc>
          <w:tcPr>
            <w:tcW w:w="2268" w:type="dxa"/>
            <w:tcBorders>
              <w:left w:val="single" w:sz="6" w:space="0" w:color="auto"/>
            </w:tcBorders>
            <w:vAlign w:val="center"/>
          </w:tcPr>
          <w:p>
            <w:pPr>
              <w:pStyle w:val="20"/>
            </w:pPr>
            <w:r>
              <w:t>接险后在规定时间内完成赔付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保险成本</w:t>
            </w:r>
          </w:p>
        </w:tc>
        <w:tc>
          <w:tcPr>
            <w:tcW w:w="5386" w:type="dxa"/>
            <w:tcBorders>
              <w:left w:val="single" w:sz="6" w:space="0" w:color="auto"/>
            </w:tcBorders>
            <w:vAlign w:val="center"/>
          </w:tcPr>
          <w:p>
            <w:pPr>
              <w:pStyle w:val="20"/>
            </w:pPr>
            <w:r>
              <w:t>平均每户的保险成本</w:t>
            </w:r>
          </w:p>
        </w:tc>
        <w:tc>
          <w:tcPr>
            <w:tcW w:w="2268" w:type="dxa"/>
            <w:tcBorders>
              <w:left w:val="single" w:sz="6" w:space="0" w:color="auto"/>
            </w:tcBorders>
            <w:vAlign w:val="center"/>
          </w:tcPr>
          <w:p>
            <w:pPr>
              <w:pStyle w:val="20"/>
            </w:pPr>
            <w:r>
              <w:t>2元/户</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灾后重建水平</w:t>
            </w:r>
          </w:p>
        </w:tc>
        <w:tc>
          <w:tcPr>
            <w:tcW w:w="5386" w:type="dxa"/>
            <w:tcBorders>
              <w:left w:val="single" w:sz="6" w:space="0" w:color="auto"/>
            </w:tcBorders>
            <w:vAlign w:val="center"/>
          </w:tcPr>
          <w:p>
            <w:pPr>
              <w:pStyle w:val="20"/>
            </w:pPr>
            <w:r>
              <w:t>降低灾害对群众的损失，促进恢复重建。</w:t>
            </w:r>
          </w:p>
        </w:tc>
        <w:tc>
          <w:tcPr>
            <w:tcW w:w="2268" w:type="dxa"/>
            <w:tcBorders>
              <w:left w:val="single" w:sz="6" w:space="0" w:color="auto"/>
            </w:tcBorders>
            <w:vAlign w:val="center"/>
          </w:tcPr>
          <w:p>
            <w:pPr>
              <w:pStyle w:val="20"/>
            </w:pPr>
            <w:r>
              <w:t>房屋倒损后得到资金支持</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服务对象满意度指标</w:t>
            </w:r>
          </w:p>
        </w:tc>
        <w:tc>
          <w:tcPr>
            <w:tcW w:w="5386" w:type="dxa"/>
            <w:tcBorders>
              <w:left w:val="single" w:sz="6" w:space="0" w:color="auto"/>
            </w:tcBorders>
            <w:vAlign w:val="center"/>
          </w:tcPr>
          <w:p>
            <w:pPr>
              <w:pStyle w:val="20"/>
            </w:pPr>
            <w:r>
              <w:t>群众对保险赔付工作的满意度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7、石财建[2023]104号提前下达2024年自然灾害救助专项资金绩效目标表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13010924P000001104318</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石财建[2023]104号提前下达2024年自然灾害救助专项资金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119.53</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119.53</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用于为全区农户参加政策性农村住房灾害保险。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20.00</w:t>
            </w:r>
          </w:p>
        </w:tc>
        <w:tc>
          <w:tcPr>
            <w:tcW w:w="2835" w:type="dxa"/>
            <w:tcBorders>
              <w:left w:val="single" w:sz="6" w:space="0" w:color="auto"/>
            </w:tcBorders>
            <w:vAlign w:val="center"/>
          </w:tcPr>
          <w:p>
            <w:pPr>
              <w:pStyle w:val="21"/>
            </w:pPr>
            <w:r>
              <w:t>119.53</w:t>
            </w:r>
          </w:p>
        </w:tc>
        <w:tc>
          <w:tcPr>
            <w:tcW w:w="2551" w:type="dxa"/>
            <w:tcBorders>
              <w:left w:val="single" w:sz="6" w:space="0" w:color="auto"/>
            </w:tcBorders>
            <w:vAlign w:val="center"/>
          </w:tcPr>
          <w:p>
            <w:pPr>
              <w:pStyle w:val="21"/>
            </w:pPr>
            <w:r>
              <w:t>119.53</w:t>
            </w:r>
          </w:p>
        </w:tc>
        <w:tc>
          <w:tcPr>
            <w:tcW w:w="3544" w:type="dxa"/>
            <w:gridSpan w:val="2"/>
            <w:tcBorders>
              <w:left w:val="single" w:sz="6" w:space="0" w:color="auto"/>
            </w:tcBorders>
            <w:vAlign w:val="center"/>
          </w:tcPr>
          <w:p>
            <w:pPr>
              <w:pStyle w:val="21"/>
            </w:pPr>
            <w:r>
              <w:t>119.53</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1.使因自然灾害倒损的农房得到保险公司快速理赔</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保险覆盖面</w:t>
            </w:r>
          </w:p>
        </w:tc>
        <w:tc>
          <w:tcPr>
            <w:tcW w:w="5386" w:type="dxa"/>
            <w:tcBorders>
              <w:left w:val="single" w:sz="6" w:space="0" w:color="auto"/>
            </w:tcBorders>
            <w:vAlign w:val="center"/>
          </w:tcPr>
          <w:p>
            <w:pPr>
              <w:pStyle w:val="20"/>
            </w:pPr>
            <w:r>
              <w:t>保险覆盖农户数量</w:t>
            </w:r>
          </w:p>
        </w:tc>
        <w:tc>
          <w:tcPr>
            <w:tcW w:w="2268" w:type="dxa"/>
            <w:tcBorders>
              <w:left w:val="single" w:sz="6" w:space="0" w:color="auto"/>
            </w:tcBorders>
            <w:vAlign w:val="center"/>
          </w:tcPr>
          <w:p>
            <w:pPr>
              <w:pStyle w:val="20"/>
            </w:pPr>
            <w:r>
              <w:t>≥188874户</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理赔标准执行率</w:t>
            </w:r>
          </w:p>
        </w:tc>
        <w:tc>
          <w:tcPr>
            <w:tcW w:w="5386" w:type="dxa"/>
            <w:tcBorders>
              <w:left w:val="single" w:sz="6" w:space="0" w:color="auto"/>
            </w:tcBorders>
            <w:vAlign w:val="center"/>
          </w:tcPr>
          <w:p>
            <w:pPr>
              <w:pStyle w:val="20"/>
            </w:pPr>
            <w:r>
              <w:t>保险实际理赔金额占应当理赔的总金额的比率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理赔时间</w:t>
            </w:r>
          </w:p>
        </w:tc>
        <w:tc>
          <w:tcPr>
            <w:tcW w:w="5386" w:type="dxa"/>
            <w:tcBorders>
              <w:left w:val="single" w:sz="6" w:space="0" w:color="auto"/>
            </w:tcBorders>
            <w:vAlign w:val="center"/>
          </w:tcPr>
          <w:p>
            <w:pPr>
              <w:pStyle w:val="20"/>
            </w:pPr>
            <w:r>
              <w:t>快速理赔</w:t>
            </w:r>
          </w:p>
        </w:tc>
        <w:tc>
          <w:tcPr>
            <w:tcW w:w="2268" w:type="dxa"/>
            <w:tcBorders>
              <w:left w:val="single" w:sz="6" w:space="0" w:color="auto"/>
            </w:tcBorders>
            <w:vAlign w:val="center"/>
          </w:tcPr>
          <w:p>
            <w:pPr>
              <w:pStyle w:val="20"/>
            </w:pPr>
            <w:r>
              <w:t>手续齐全后三个工作日内进行赔付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平均每户的保险成本</w:t>
            </w:r>
          </w:p>
        </w:tc>
        <w:tc>
          <w:tcPr>
            <w:tcW w:w="2268" w:type="dxa"/>
            <w:tcBorders>
              <w:left w:val="single" w:sz="6" w:space="0" w:color="auto"/>
            </w:tcBorders>
            <w:vAlign w:val="center"/>
          </w:tcPr>
          <w:p>
            <w:pPr>
              <w:pStyle w:val="20"/>
            </w:pPr>
            <w:r>
              <w:t>6元/户</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灾后重建水平</w:t>
            </w:r>
          </w:p>
        </w:tc>
        <w:tc>
          <w:tcPr>
            <w:tcW w:w="5386" w:type="dxa"/>
            <w:tcBorders>
              <w:left w:val="single" w:sz="6" w:space="0" w:color="auto"/>
            </w:tcBorders>
            <w:vAlign w:val="center"/>
          </w:tcPr>
          <w:p>
            <w:pPr>
              <w:pStyle w:val="20"/>
            </w:pPr>
            <w:r>
              <w:t>降低灾害对群众的损失，促进恢复重建。</w:t>
            </w:r>
          </w:p>
        </w:tc>
        <w:tc>
          <w:tcPr>
            <w:tcW w:w="2268" w:type="dxa"/>
            <w:tcBorders>
              <w:left w:val="single" w:sz="6" w:space="0" w:color="auto"/>
            </w:tcBorders>
            <w:vAlign w:val="center"/>
          </w:tcPr>
          <w:p>
            <w:pPr>
              <w:pStyle w:val="20"/>
            </w:pPr>
            <w:r>
              <w:t>房屋倒损后得到资金支持</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服务对象满意度指标</w:t>
            </w:r>
          </w:p>
        </w:tc>
        <w:tc>
          <w:tcPr>
            <w:tcW w:w="5386" w:type="dxa"/>
            <w:tcBorders>
              <w:left w:val="single" w:sz="6" w:space="0" w:color="auto"/>
            </w:tcBorders>
            <w:vAlign w:val="center"/>
          </w:tcPr>
          <w:p>
            <w:pPr>
              <w:pStyle w:val="20"/>
            </w:pPr>
            <w:r>
              <w:t>群众对保险赔付工作的满意度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8、石财建[2024]109号提前下达2025年市级防震减灾群测群防补助资金绩效目标表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13010925P000009100845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石财建[2024]109号提前下达2025年市级防震减灾群测群防补助资金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1.80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1.80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地震台站维护</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r>
              <w:t>1.80</w:t>
            </w:r>
          </w:p>
        </w:tc>
        <w:tc>
          <w:tcPr>
            <w:tcW w:w="3544" w:type="dxa"/>
            <w:gridSpan w:val="2"/>
            <w:tcBorders>
              <w:left w:val="single" w:sz="6" w:space="0" w:color="auto"/>
            </w:tcBorders>
            <w:vAlign w:val="center"/>
          </w:tcPr>
          <w:p>
            <w:pPr>
              <w:pStyle w:val="21"/>
            </w:pPr>
            <w:r>
              <w:t>1.80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地球物理观测站点正常运行率</w:t>
            </w:r>
          </w:p>
        </w:tc>
        <w:tc>
          <w:tcPr>
            <w:tcW w:w="5386" w:type="dxa"/>
            <w:tcBorders>
              <w:left w:val="single" w:sz="6" w:space="0" w:color="auto"/>
            </w:tcBorders>
            <w:vAlign w:val="center"/>
          </w:tcPr>
          <w:p>
            <w:pPr>
              <w:pStyle w:val="20"/>
            </w:pPr>
            <w:r>
              <w:t>地球物理观测站点正常运行率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按时上报地球物理观测站点观测数据</w:t>
            </w:r>
          </w:p>
        </w:tc>
        <w:tc>
          <w:tcPr>
            <w:tcW w:w="5386" w:type="dxa"/>
            <w:tcBorders>
              <w:left w:val="single" w:sz="6" w:space="0" w:color="auto"/>
            </w:tcBorders>
            <w:vAlign w:val="center"/>
          </w:tcPr>
          <w:p>
            <w:pPr>
              <w:pStyle w:val="20"/>
            </w:pPr>
            <w:r>
              <w:t>按照有关工作要求，完成地震信息速报工作</w:t>
            </w:r>
          </w:p>
        </w:tc>
        <w:tc>
          <w:tcPr>
            <w:tcW w:w="2268" w:type="dxa"/>
            <w:tcBorders>
              <w:left w:val="single" w:sz="6" w:space="0" w:color="auto"/>
            </w:tcBorders>
            <w:vAlign w:val="center"/>
          </w:tcPr>
          <w:p>
            <w:pPr>
              <w:pStyle w:val="20"/>
            </w:pPr>
            <w:r>
              <w:t>在固定时间内完成上报工作</w:t>
            </w:r>
          </w:p>
        </w:tc>
        <w:tc>
          <w:tcPr>
            <w:tcW w:w="1276" w:type="dxa"/>
            <w:tcBorders>
              <w:left w:val="single" w:sz="6" w:space="0" w:color="auto"/>
            </w:tcBorders>
            <w:vAlign w:val="center"/>
          </w:tcPr>
          <w:p>
            <w:pPr>
              <w:pStyle w:val="20"/>
            </w:pPr>
            <w:r>
              <w:t>工作要求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按要求开展震情速报</w:t>
            </w:r>
          </w:p>
        </w:tc>
        <w:tc>
          <w:tcPr>
            <w:tcW w:w="5386" w:type="dxa"/>
            <w:tcBorders>
              <w:left w:val="single" w:sz="6" w:space="0" w:color="auto"/>
            </w:tcBorders>
            <w:vAlign w:val="center"/>
          </w:tcPr>
          <w:p>
            <w:pPr>
              <w:pStyle w:val="20"/>
            </w:pPr>
            <w:r>
              <w:t>按照有关工作要求完成地震信息速报工作</w:t>
            </w:r>
          </w:p>
        </w:tc>
        <w:tc>
          <w:tcPr>
            <w:tcW w:w="2268" w:type="dxa"/>
            <w:tcBorders>
              <w:left w:val="single" w:sz="6" w:space="0" w:color="auto"/>
            </w:tcBorders>
            <w:vAlign w:val="center"/>
          </w:tcPr>
          <w:p>
            <w:pPr>
              <w:pStyle w:val="20"/>
            </w:pPr>
            <w:r>
              <w:t>在固定时间内完成上报工作</w:t>
            </w:r>
          </w:p>
        </w:tc>
        <w:tc>
          <w:tcPr>
            <w:tcW w:w="1276" w:type="dxa"/>
            <w:tcBorders>
              <w:left w:val="single" w:sz="6" w:space="0" w:color="auto"/>
            </w:tcBorders>
            <w:vAlign w:val="center"/>
          </w:tcPr>
          <w:p>
            <w:pPr>
              <w:pStyle w:val="20"/>
            </w:pPr>
            <w:r>
              <w:t>按照应急预案要求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预算总成本</w:t>
            </w:r>
          </w:p>
        </w:tc>
        <w:tc>
          <w:tcPr>
            <w:tcW w:w="5386" w:type="dxa"/>
            <w:tcBorders>
              <w:left w:val="single" w:sz="6" w:space="0" w:color="auto"/>
            </w:tcBorders>
            <w:vAlign w:val="center"/>
          </w:tcPr>
          <w:p>
            <w:pPr>
              <w:pStyle w:val="20"/>
            </w:pPr>
            <w:r>
              <w:t>防震减灾群策裙房专项经费总金额</w:t>
            </w:r>
          </w:p>
        </w:tc>
        <w:tc>
          <w:tcPr>
            <w:tcW w:w="2268" w:type="dxa"/>
            <w:tcBorders>
              <w:left w:val="single" w:sz="6" w:space="0" w:color="auto"/>
            </w:tcBorders>
            <w:vAlign w:val="center"/>
          </w:tcPr>
          <w:p>
            <w:pPr>
              <w:pStyle w:val="20"/>
            </w:pPr>
            <w:r>
              <w:t>≤1.8万元</w:t>
            </w:r>
          </w:p>
        </w:tc>
        <w:tc>
          <w:tcPr>
            <w:tcW w:w="1276" w:type="dxa"/>
            <w:tcBorders>
              <w:left w:val="single" w:sz="6" w:space="0" w:color="auto"/>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地震观测站点</w:t>
            </w:r>
          </w:p>
        </w:tc>
        <w:tc>
          <w:tcPr>
            <w:tcW w:w="5386" w:type="dxa"/>
            <w:tcBorders>
              <w:left w:val="single" w:sz="6" w:space="0" w:color="auto"/>
            </w:tcBorders>
            <w:vAlign w:val="center"/>
          </w:tcPr>
          <w:p>
            <w:pPr>
              <w:pStyle w:val="20"/>
            </w:pPr>
            <w:r>
              <w:t>地震观测站点</w:t>
            </w:r>
          </w:p>
        </w:tc>
        <w:tc>
          <w:tcPr>
            <w:tcW w:w="2268" w:type="dxa"/>
            <w:tcBorders>
              <w:left w:val="single" w:sz="6" w:space="0" w:color="auto"/>
            </w:tcBorders>
            <w:vAlign w:val="center"/>
          </w:tcPr>
          <w:p>
            <w:pPr>
              <w:pStyle w:val="20"/>
            </w:pPr>
            <w:r>
              <w:t>≥2个</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降低地震造成的经济损失和人员伤亡</w:t>
            </w:r>
          </w:p>
        </w:tc>
        <w:tc>
          <w:tcPr>
            <w:tcW w:w="5386" w:type="dxa"/>
            <w:tcBorders>
              <w:left w:val="single" w:sz="6" w:space="0" w:color="auto"/>
            </w:tcBorders>
            <w:vAlign w:val="center"/>
          </w:tcPr>
          <w:p>
            <w:pPr>
              <w:pStyle w:val="20"/>
            </w:pPr>
            <w:r>
              <w:t>降低地震造成的经济损失和人员伤亡</w:t>
            </w:r>
          </w:p>
        </w:tc>
        <w:tc>
          <w:tcPr>
            <w:tcW w:w="2268" w:type="dxa"/>
            <w:tcBorders>
              <w:left w:val="single" w:sz="6" w:space="0" w:color="auto"/>
            </w:tcBorders>
            <w:vAlign w:val="center"/>
          </w:tcPr>
          <w:p>
            <w:pPr>
              <w:pStyle w:val="20"/>
            </w:pPr>
            <w:r>
              <w:t>进一步降低地震造成的经济损失和人员伤亡</w:t>
            </w:r>
          </w:p>
        </w:tc>
        <w:tc>
          <w:tcPr>
            <w:tcW w:w="1276" w:type="dxa"/>
            <w:tcBorders>
              <w:left w:val="single" w:sz="6" w:space="0" w:color="auto"/>
            </w:tcBorders>
            <w:vAlign w:val="center"/>
          </w:tcPr>
          <w:p>
            <w:pPr>
              <w:pStyle w:val="20"/>
            </w:pPr>
            <w:r>
              <w:t>历史标准</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 xml:space="preserve">满意程度 </w:t>
            </w:r>
          </w:p>
        </w:tc>
        <w:tc>
          <w:tcPr>
            <w:tcW w:w="5386" w:type="dxa"/>
            <w:tcBorders>
              <w:left w:val="single" w:sz="6" w:space="0" w:color="auto"/>
            </w:tcBorders>
            <w:vAlign w:val="center"/>
          </w:tcPr>
          <w:p>
            <w:pPr>
              <w:pStyle w:val="20"/>
            </w:pPr>
            <w:r>
              <w:t xml:space="preserve">满意程度 </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9、石财建[2024]7号增发2023年国债自然灾害应急能力提升工程（应急领域）补助资金绩效目标表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13010924P000038102945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石财建[2024]7号增发2023年国债自然灾害应急能力提升工程（应急领域）补助资金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49.19</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49.19</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用于建设和改造预警指挥中心，提升自然灾害应急能力。</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20.00</w:t>
            </w:r>
          </w:p>
        </w:tc>
        <w:tc>
          <w:tcPr>
            <w:tcW w:w="2835" w:type="dxa"/>
            <w:tcBorders>
              <w:left w:val="single" w:sz="6" w:space="0" w:color="auto"/>
            </w:tcBorders>
            <w:vAlign w:val="center"/>
          </w:tcPr>
          <w:p>
            <w:pPr>
              <w:pStyle w:val="21"/>
            </w:pPr>
            <w:r>
              <w:t>40.00</w:t>
            </w:r>
          </w:p>
        </w:tc>
        <w:tc>
          <w:tcPr>
            <w:tcW w:w="2551" w:type="dxa"/>
            <w:tcBorders>
              <w:left w:val="single" w:sz="6" w:space="0" w:color="auto"/>
            </w:tcBorders>
            <w:vAlign w:val="center"/>
          </w:tcPr>
          <w:p>
            <w:pPr>
              <w:pStyle w:val="21"/>
            </w:pPr>
            <w:r>
              <w:t>49.19</w:t>
            </w:r>
          </w:p>
        </w:tc>
        <w:tc>
          <w:tcPr>
            <w:tcW w:w="3544" w:type="dxa"/>
            <w:gridSpan w:val="2"/>
            <w:tcBorders>
              <w:left w:val="single" w:sz="6" w:space="0" w:color="auto"/>
            </w:tcBorders>
            <w:vAlign w:val="center"/>
          </w:tcPr>
          <w:p>
            <w:pPr>
              <w:pStyle w:val="21"/>
            </w:pPr>
            <w:r>
              <w:t>49.19</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1.完善指挥中心改造，提升藁城区自然灾害应急能力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设备数量</w:t>
            </w:r>
          </w:p>
        </w:tc>
        <w:tc>
          <w:tcPr>
            <w:tcW w:w="5386" w:type="dxa"/>
            <w:tcBorders>
              <w:left w:val="single" w:sz="6" w:space="0" w:color="auto"/>
            </w:tcBorders>
            <w:vAlign w:val="center"/>
          </w:tcPr>
          <w:p>
            <w:pPr>
              <w:pStyle w:val="20"/>
            </w:pPr>
            <w:r>
              <w:t>配备指挥中心设备数量</w:t>
            </w:r>
          </w:p>
        </w:tc>
        <w:tc>
          <w:tcPr>
            <w:tcW w:w="2268" w:type="dxa"/>
            <w:tcBorders>
              <w:left w:val="single" w:sz="6" w:space="0" w:color="auto"/>
            </w:tcBorders>
            <w:vAlign w:val="center"/>
          </w:tcPr>
          <w:p>
            <w:pPr>
              <w:pStyle w:val="20"/>
            </w:pPr>
            <w:r>
              <w:t>11</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全天候线上监管</w:t>
            </w:r>
          </w:p>
        </w:tc>
        <w:tc>
          <w:tcPr>
            <w:tcW w:w="5386" w:type="dxa"/>
            <w:tcBorders>
              <w:left w:val="single" w:sz="6" w:space="0" w:color="auto"/>
            </w:tcBorders>
            <w:vAlign w:val="center"/>
          </w:tcPr>
          <w:p>
            <w:pPr>
              <w:pStyle w:val="20"/>
            </w:pPr>
            <w:r>
              <w:t>指挥中心全天候线上监管</w:t>
            </w:r>
          </w:p>
        </w:tc>
        <w:tc>
          <w:tcPr>
            <w:tcW w:w="2268" w:type="dxa"/>
            <w:tcBorders>
              <w:left w:val="single" w:sz="6" w:space="0" w:color="auto"/>
            </w:tcBorders>
            <w:vAlign w:val="center"/>
          </w:tcPr>
          <w:p>
            <w:pPr>
              <w:pStyle w:val="20"/>
            </w:pPr>
            <w:r>
              <w:t>监控系统可实现多级实时互联</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完成时限</w:t>
            </w:r>
          </w:p>
        </w:tc>
        <w:tc>
          <w:tcPr>
            <w:tcW w:w="5386" w:type="dxa"/>
            <w:tcBorders>
              <w:left w:val="single" w:sz="6" w:space="0" w:color="auto"/>
            </w:tcBorders>
            <w:vAlign w:val="center"/>
          </w:tcPr>
          <w:p>
            <w:pPr>
              <w:pStyle w:val="20"/>
            </w:pPr>
            <w:r>
              <w:t>指挥中心完成改造时间</w:t>
            </w:r>
          </w:p>
        </w:tc>
        <w:tc>
          <w:tcPr>
            <w:tcW w:w="2268" w:type="dxa"/>
            <w:tcBorders>
              <w:left w:val="single" w:sz="6" w:space="0" w:color="auto"/>
            </w:tcBorders>
            <w:vAlign w:val="center"/>
          </w:tcPr>
          <w:p>
            <w:pPr>
              <w:pStyle w:val="20"/>
            </w:pPr>
            <w:r>
              <w:t>11-12月</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指挥中心运行情况</w:t>
            </w:r>
          </w:p>
        </w:tc>
        <w:tc>
          <w:tcPr>
            <w:tcW w:w="5386" w:type="dxa"/>
            <w:tcBorders>
              <w:left w:val="single" w:sz="6" w:space="0" w:color="auto"/>
            </w:tcBorders>
            <w:vAlign w:val="center"/>
          </w:tcPr>
          <w:p>
            <w:pPr>
              <w:pStyle w:val="20"/>
            </w:pPr>
            <w:r>
              <w:t>实时对全区自然灾害情况进行监控的水平</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 xml:space="preserve">满意程度 </w:t>
            </w:r>
          </w:p>
        </w:tc>
        <w:tc>
          <w:tcPr>
            <w:tcW w:w="5386" w:type="dxa"/>
            <w:tcBorders>
              <w:left w:val="single" w:sz="6" w:space="0" w:color="auto"/>
            </w:tcBorders>
            <w:vAlign w:val="center"/>
          </w:tcPr>
          <w:p>
            <w:pPr>
              <w:pStyle w:val="20"/>
            </w:pPr>
            <w:r>
              <w:t xml:space="preserve">满意程度 </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10、石财建[2024]8号增发2023年国债自然灾害应急能力提升工程（应急领域）省级补助资金绩效目标表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13010924P00003810295Q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石财建[2024]8号增发2023年国债自然灾害应急能力提升工程（应急领域）省级补助资金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4.10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4.10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用于建设和改造预警指挥中心，提升自然灾害应急能力。</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4.00</w:t>
            </w:r>
          </w:p>
        </w:tc>
        <w:tc>
          <w:tcPr>
            <w:tcW w:w="2835" w:type="dxa"/>
            <w:tcBorders>
              <w:left w:val="single" w:sz="6" w:space="0" w:color="auto"/>
            </w:tcBorders>
            <w:vAlign w:val="center"/>
          </w:tcPr>
          <w:p>
            <w:pPr>
              <w:pStyle w:val="21"/>
            </w:pPr>
            <w:r>
              <w:t>4.10</w:t>
            </w:r>
          </w:p>
        </w:tc>
        <w:tc>
          <w:tcPr>
            <w:tcW w:w="2551" w:type="dxa"/>
            <w:tcBorders>
              <w:left w:val="single" w:sz="6" w:space="0" w:color="auto"/>
            </w:tcBorders>
            <w:vAlign w:val="center"/>
          </w:tcPr>
          <w:p>
            <w:pPr>
              <w:pStyle w:val="21"/>
            </w:pPr>
            <w:r>
              <w:t>4.10</w:t>
            </w:r>
          </w:p>
        </w:tc>
        <w:tc>
          <w:tcPr>
            <w:tcW w:w="3544" w:type="dxa"/>
            <w:gridSpan w:val="2"/>
            <w:tcBorders>
              <w:left w:val="single" w:sz="6" w:space="0" w:color="auto"/>
            </w:tcBorders>
            <w:vAlign w:val="center"/>
          </w:tcPr>
          <w:p>
            <w:pPr>
              <w:pStyle w:val="21"/>
            </w:pPr>
            <w:r>
              <w:t>4.10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1.完善指挥中心改造，提升藁城区自然灾害应急能力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设备数量</w:t>
            </w:r>
          </w:p>
        </w:tc>
        <w:tc>
          <w:tcPr>
            <w:tcW w:w="5386" w:type="dxa"/>
            <w:tcBorders>
              <w:left w:val="single" w:sz="6" w:space="0" w:color="auto"/>
            </w:tcBorders>
            <w:vAlign w:val="center"/>
          </w:tcPr>
          <w:p>
            <w:pPr>
              <w:pStyle w:val="20"/>
            </w:pPr>
            <w:r>
              <w:t>配备指挥中心设备数量</w:t>
            </w:r>
          </w:p>
        </w:tc>
        <w:tc>
          <w:tcPr>
            <w:tcW w:w="2268" w:type="dxa"/>
            <w:tcBorders>
              <w:left w:val="single" w:sz="6" w:space="0" w:color="auto"/>
            </w:tcBorders>
            <w:vAlign w:val="center"/>
          </w:tcPr>
          <w:p>
            <w:pPr>
              <w:pStyle w:val="20"/>
            </w:pPr>
            <w:r>
              <w:t>11</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全天候线上监管</w:t>
            </w:r>
          </w:p>
        </w:tc>
        <w:tc>
          <w:tcPr>
            <w:tcW w:w="5386" w:type="dxa"/>
            <w:tcBorders>
              <w:left w:val="single" w:sz="6" w:space="0" w:color="auto"/>
            </w:tcBorders>
            <w:vAlign w:val="center"/>
          </w:tcPr>
          <w:p>
            <w:pPr>
              <w:pStyle w:val="20"/>
            </w:pPr>
            <w:r>
              <w:t>指挥中心全天候线上监管</w:t>
            </w:r>
          </w:p>
        </w:tc>
        <w:tc>
          <w:tcPr>
            <w:tcW w:w="2268" w:type="dxa"/>
            <w:tcBorders>
              <w:left w:val="single" w:sz="6" w:space="0" w:color="auto"/>
            </w:tcBorders>
            <w:vAlign w:val="center"/>
          </w:tcPr>
          <w:p>
            <w:pPr>
              <w:pStyle w:val="20"/>
            </w:pPr>
            <w:r>
              <w:t>监控系统可实现多级实时互联</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完成时限</w:t>
            </w:r>
          </w:p>
        </w:tc>
        <w:tc>
          <w:tcPr>
            <w:tcW w:w="5386" w:type="dxa"/>
            <w:tcBorders>
              <w:left w:val="single" w:sz="6" w:space="0" w:color="auto"/>
            </w:tcBorders>
            <w:vAlign w:val="center"/>
          </w:tcPr>
          <w:p>
            <w:pPr>
              <w:pStyle w:val="20"/>
            </w:pPr>
            <w:r>
              <w:t>指挥中心完成改造时间</w:t>
            </w:r>
          </w:p>
        </w:tc>
        <w:tc>
          <w:tcPr>
            <w:tcW w:w="2268" w:type="dxa"/>
            <w:tcBorders>
              <w:left w:val="single" w:sz="6" w:space="0" w:color="auto"/>
            </w:tcBorders>
            <w:vAlign w:val="center"/>
          </w:tcPr>
          <w:p>
            <w:pPr>
              <w:pStyle w:val="20"/>
            </w:pPr>
            <w:r>
              <w:t>11月-12月</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指挥中心运行情况</w:t>
            </w:r>
          </w:p>
        </w:tc>
        <w:tc>
          <w:tcPr>
            <w:tcW w:w="5386" w:type="dxa"/>
            <w:tcBorders>
              <w:left w:val="single" w:sz="6" w:space="0" w:color="auto"/>
            </w:tcBorders>
            <w:vAlign w:val="center"/>
          </w:tcPr>
          <w:p>
            <w:pPr>
              <w:pStyle w:val="20"/>
            </w:pPr>
            <w:r>
              <w:t>实时对全区自然灾害情况进行监控的水平</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房屋使用者满意度</w:t>
            </w:r>
          </w:p>
        </w:tc>
        <w:tc>
          <w:tcPr>
            <w:tcW w:w="5386" w:type="dxa"/>
            <w:tcBorders>
              <w:left w:val="single" w:sz="6" w:space="0" w:color="auto"/>
            </w:tcBorders>
            <w:vAlign w:val="center"/>
          </w:tcPr>
          <w:p>
            <w:pPr>
              <w:pStyle w:val="20"/>
            </w:pPr>
            <w:r>
              <w:t>房屋使用者满意度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11、石财建[2024]96号提前下达2025年自然灾害救助专项资金绩效目标表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13010925P00000910085Q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石财建[2024]96号提前下达2025年自然灾害救助专项资金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113.73</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113.73</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农房保险上级资金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80.00</w:t>
            </w:r>
          </w:p>
        </w:tc>
        <w:tc>
          <w:tcPr>
            <w:tcW w:w="2551" w:type="dxa"/>
            <w:tcBorders>
              <w:left w:val="single" w:sz="6" w:space="0" w:color="auto"/>
            </w:tcBorders>
            <w:vAlign w:val="center"/>
          </w:tcPr>
          <w:p>
            <w:pPr>
              <w:pStyle w:val="21"/>
            </w:pPr>
            <w:r>
              <w:t>113.73</w:t>
            </w:r>
          </w:p>
        </w:tc>
        <w:tc>
          <w:tcPr>
            <w:tcW w:w="3544" w:type="dxa"/>
            <w:gridSpan w:val="2"/>
            <w:tcBorders>
              <w:left w:val="single" w:sz="6" w:space="0" w:color="auto"/>
            </w:tcBorders>
            <w:vAlign w:val="center"/>
          </w:tcPr>
          <w:p>
            <w:pPr>
              <w:pStyle w:val="21"/>
            </w:pPr>
            <w:r>
              <w:t>113.73</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开展政策性农房保险农户数量</w:t>
            </w:r>
          </w:p>
        </w:tc>
        <w:tc>
          <w:tcPr>
            <w:tcW w:w="5386" w:type="dxa"/>
            <w:tcBorders>
              <w:left w:val="single" w:sz="6" w:space="0" w:color="auto"/>
            </w:tcBorders>
            <w:vAlign w:val="center"/>
          </w:tcPr>
          <w:p>
            <w:pPr>
              <w:pStyle w:val="20"/>
            </w:pPr>
            <w:r>
              <w:t>保险覆盖农户数量</w:t>
            </w:r>
          </w:p>
        </w:tc>
        <w:tc>
          <w:tcPr>
            <w:tcW w:w="2268" w:type="dxa"/>
            <w:tcBorders>
              <w:left w:val="single" w:sz="6" w:space="0" w:color="auto"/>
            </w:tcBorders>
            <w:vAlign w:val="center"/>
          </w:tcPr>
          <w:p>
            <w:pPr>
              <w:pStyle w:val="20"/>
            </w:pPr>
            <w:r>
              <w:t>179216户</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农房保险出险赔付率</w:t>
            </w:r>
          </w:p>
        </w:tc>
        <w:tc>
          <w:tcPr>
            <w:tcW w:w="5386" w:type="dxa"/>
            <w:tcBorders>
              <w:left w:val="single" w:sz="6" w:space="0" w:color="auto"/>
            </w:tcBorders>
            <w:vAlign w:val="center"/>
          </w:tcPr>
          <w:p>
            <w:pPr>
              <w:pStyle w:val="20"/>
            </w:pPr>
            <w:r>
              <w:t>经鉴定符合承保理赔要求的因灾倒损农房户，占后期理赔比例</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农房保险到期续保时间</w:t>
            </w:r>
          </w:p>
        </w:tc>
        <w:tc>
          <w:tcPr>
            <w:tcW w:w="5386" w:type="dxa"/>
            <w:tcBorders>
              <w:left w:val="single" w:sz="6" w:space="0" w:color="auto"/>
            </w:tcBorders>
            <w:vAlign w:val="center"/>
          </w:tcPr>
          <w:p>
            <w:pPr>
              <w:pStyle w:val="20"/>
            </w:pPr>
            <w:r>
              <w:t>1月以内</w:t>
            </w:r>
          </w:p>
        </w:tc>
        <w:tc>
          <w:tcPr>
            <w:tcW w:w="2268" w:type="dxa"/>
            <w:tcBorders>
              <w:left w:val="single" w:sz="6" w:space="0" w:color="auto"/>
            </w:tcBorders>
            <w:vAlign w:val="center"/>
          </w:tcPr>
          <w:p>
            <w:pPr>
              <w:pStyle w:val="20"/>
            </w:pPr>
            <w:r>
              <w:t>接险后在规定时间内完成赔付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保险成本</w:t>
            </w:r>
          </w:p>
        </w:tc>
        <w:tc>
          <w:tcPr>
            <w:tcW w:w="5386" w:type="dxa"/>
            <w:tcBorders>
              <w:left w:val="single" w:sz="6" w:space="0" w:color="auto"/>
            </w:tcBorders>
            <w:vAlign w:val="center"/>
          </w:tcPr>
          <w:p>
            <w:pPr>
              <w:pStyle w:val="20"/>
            </w:pPr>
            <w:r>
              <w:t>平均每户的保险成本</w:t>
            </w:r>
          </w:p>
        </w:tc>
        <w:tc>
          <w:tcPr>
            <w:tcW w:w="2268" w:type="dxa"/>
            <w:tcBorders>
              <w:left w:val="single" w:sz="6" w:space="0" w:color="auto"/>
            </w:tcBorders>
            <w:vAlign w:val="center"/>
          </w:tcPr>
          <w:p>
            <w:pPr>
              <w:pStyle w:val="20"/>
            </w:pPr>
            <w:r>
              <w:t>6元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提高农户抵御灾害能力</w:t>
            </w:r>
          </w:p>
        </w:tc>
        <w:tc>
          <w:tcPr>
            <w:tcW w:w="5386" w:type="dxa"/>
            <w:tcBorders>
              <w:left w:val="single" w:sz="6" w:space="0" w:color="auto"/>
            </w:tcBorders>
            <w:vAlign w:val="center"/>
          </w:tcPr>
          <w:p>
            <w:pPr>
              <w:pStyle w:val="20"/>
            </w:pPr>
            <w:r>
              <w:t>较往年有所提高</w:t>
            </w:r>
          </w:p>
        </w:tc>
        <w:tc>
          <w:tcPr>
            <w:tcW w:w="2268" w:type="dxa"/>
            <w:tcBorders>
              <w:left w:val="single" w:sz="6" w:space="0" w:color="auto"/>
            </w:tcBorders>
            <w:vAlign w:val="center"/>
          </w:tcPr>
          <w:p>
            <w:pPr>
              <w:pStyle w:val="20"/>
            </w:pPr>
            <w:r>
              <w:t>较往年有所提高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 xml:space="preserve">满意程度 </w:t>
            </w:r>
          </w:p>
        </w:tc>
        <w:tc>
          <w:tcPr>
            <w:tcW w:w="5386" w:type="dxa"/>
            <w:tcBorders>
              <w:left w:val="single" w:sz="6" w:space="0" w:color="auto"/>
            </w:tcBorders>
            <w:vAlign w:val="center"/>
          </w:tcPr>
          <w:p>
            <w:pPr>
              <w:pStyle w:val="20"/>
            </w:pPr>
            <w:r>
              <w:t>农房保险参保农户满意率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12、应急防汛绩效目标表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13010925P00000810155Q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应急防汛</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物资储备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3.00</w:t>
            </w:r>
          </w:p>
        </w:tc>
        <w:tc>
          <w:tcPr>
            <w:tcW w:w="2835" w:type="dxa"/>
            <w:tcBorders>
              <w:left w:val="single" w:sz="6" w:space="0" w:color="auto"/>
            </w:tcBorders>
            <w:vAlign w:val="center"/>
          </w:tcPr>
          <w:p>
            <w:pPr>
              <w:pStyle w:val="21"/>
            </w:pPr>
            <w:r>
              <w:t>6.00</w:t>
            </w:r>
          </w:p>
        </w:tc>
        <w:tc>
          <w:tcPr>
            <w:tcW w:w="2551" w:type="dxa"/>
            <w:tcBorders>
              <w:left w:val="single" w:sz="6" w:space="0" w:color="auto"/>
            </w:tcBorders>
            <w:vAlign w:val="center"/>
          </w:tcPr>
          <w:p>
            <w:pPr>
              <w:pStyle w:val="21"/>
            </w:pPr>
            <w:r>
              <w:t>9.00</w:t>
            </w:r>
          </w:p>
        </w:tc>
        <w:tc>
          <w:tcPr>
            <w:tcW w:w="3544" w:type="dxa"/>
            <w:gridSpan w:val="2"/>
            <w:tcBorders>
              <w:left w:val="single" w:sz="6" w:space="0" w:color="auto"/>
            </w:tcBorders>
            <w:vAlign w:val="center"/>
          </w:tcPr>
          <w:p>
            <w:pPr>
              <w:pStyle w:val="21"/>
            </w:pPr>
            <w:r>
              <w:t>10.00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1.立足“防大汛、抗大旱、抢大险、救大灾”要求，扎实做好防汛抗旱工作，保护人民群众生命财产安全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开展防汛抗旱会议</w:t>
            </w:r>
          </w:p>
        </w:tc>
        <w:tc>
          <w:tcPr>
            <w:tcW w:w="5386" w:type="dxa"/>
            <w:tcBorders>
              <w:left w:val="single" w:sz="6" w:space="0" w:color="auto"/>
            </w:tcBorders>
            <w:vAlign w:val="center"/>
          </w:tcPr>
          <w:p>
            <w:pPr>
              <w:pStyle w:val="20"/>
            </w:pPr>
            <w:r>
              <w:t>全年电视电话视频会数量</w:t>
            </w:r>
          </w:p>
        </w:tc>
        <w:tc>
          <w:tcPr>
            <w:tcW w:w="2268" w:type="dxa"/>
            <w:tcBorders>
              <w:left w:val="single" w:sz="6" w:space="0" w:color="auto"/>
            </w:tcBorders>
            <w:vAlign w:val="center"/>
          </w:tcPr>
          <w:p>
            <w:pPr>
              <w:pStyle w:val="20"/>
            </w:pPr>
            <w:r>
              <w:t>≥4次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防汛效果</w:t>
            </w:r>
          </w:p>
        </w:tc>
        <w:tc>
          <w:tcPr>
            <w:tcW w:w="5386" w:type="dxa"/>
            <w:tcBorders>
              <w:left w:val="single" w:sz="6" w:space="0" w:color="auto"/>
            </w:tcBorders>
            <w:vAlign w:val="center"/>
          </w:tcPr>
          <w:p>
            <w:pPr>
              <w:pStyle w:val="20"/>
            </w:pPr>
            <w:r>
              <w:t>合理利用资金，从物资号备各方面，确保我区安全度汛。</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工作及时性</w:t>
            </w:r>
          </w:p>
        </w:tc>
        <w:tc>
          <w:tcPr>
            <w:tcW w:w="5386" w:type="dxa"/>
            <w:tcBorders>
              <w:left w:val="single" w:sz="6" w:space="0" w:color="auto"/>
            </w:tcBorders>
            <w:vAlign w:val="center"/>
          </w:tcPr>
          <w:p>
            <w:pPr>
              <w:pStyle w:val="20"/>
            </w:pPr>
            <w:r>
              <w:t>及时上报隐患排查表、物资统计表，建立我区防汛抗旱隐患排查档案。及时调整防汛抗旱指挥部组成人员，并上报区政府办。</w:t>
            </w:r>
          </w:p>
        </w:tc>
        <w:tc>
          <w:tcPr>
            <w:tcW w:w="2268" w:type="dxa"/>
            <w:tcBorders>
              <w:left w:val="single" w:sz="6" w:space="0" w:color="auto"/>
            </w:tcBorders>
            <w:vAlign w:val="center"/>
          </w:tcPr>
          <w:p>
            <w:pPr>
              <w:pStyle w:val="20"/>
            </w:pPr>
            <w:r>
              <w:t>工作及时上报</w:t>
            </w:r>
          </w:p>
        </w:tc>
        <w:tc>
          <w:tcPr>
            <w:tcW w:w="1276" w:type="dxa"/>
            <w:tcBorders>
              <w:left w:val="single" w:sz="6" w:space="0" w:color="auto"/>
            </w:tcBorders>
            <w:vAlign w:val="center"/>
          </w:tcPr>
          <w:p>
            <w:pPr>
              <w:pStyle w:val="20"/>
            </w:pPr>
            <w:r>
              <w:t>藁汛办[2021]1号</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救生衣、照明灯、手动强光搜索灯、发电机、数字对讲机等平均成本</w:t>
            </w:r>
          </w:p>
        </w:tc>
        <w:tc>
          <w:tcPr>
            <w:tcW w:w="2268" w:type="dxa"/>
            <w:tcBorders>
              <w:left w:val="single" w:sz="6" w:space="0" w:color="auto"/>
            </w:tcBorders>
            <w:vAlign w:val="center"/>
          </w:tcPr>
          <w:p>
            <w:pPr>
              <w:pStyle w:val="20"/>
            </w:pPr>
            <w:r>
              <w:t>≤200元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对全区防汛能力的影响</w:t>
            </w:r>
          </w:p>
        </w:tc>
        <w:tc>
          <w:tcPr>
            <w:tcW w:w="5386" w:type="dxa"/>
            <w:tcBorders>
              <w:left w:val="single" w:sz="6" w:space="0" w:color="auto"/>
            </w:tcBorders>
            <w:vAlign w:val="center"/>
          </w:tcPr>
          <w:p>
            <w:pPr>
              <w:pStyle w:val="20"/>
            </w:pPr>
            <w:r>
              <w:t>加强日常防汛隐患排查并及时整改完成，做到“汛期不停，排查不停”。建成一支精炼的防汛队伍，防汛物资准备充足，保证及时做好抗洪抢险工作</w:t>
            </w:r>
          </w:p>
        </w:tc>
        <w:tc>
          <w:tcPr>
            <w:tcW w:w="2268" w:type="dxa"/>
            <w:tcBorders>
              <w:left w:val="single" w:sz="6" w:space="0" w:color="auto"/>
            </w:tcBorders>
            <w:vAlign w:val="center"/>
          </w:tcPr>
          <w:p>
            <w:pPr>
              <w:pStyle w:val="20"/>
            </w:pPr>
            <w:r>
              <w:t>较上年提高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群众满意度</w:t>
            </w:r>
          </w:p>
        </w:tc>
        <w:tc>
          <w:tcPr>
            <w:tcW w:w="5386" w:type="dxa"/>
            <w:tcBorders>
              <w:left w:val="single" w:sz="6" w:space="0" w:color="auto"/>
            </w:tcBorders>
            <w:vAlign w:val="center"/>
          </w:tcPr>
          <w:p>
            <w:pPr>
              <w:pStyle w:val="20"/>
            </w:pPr>
            <w:r>
              <w:t>群众满意数量占总数的比例</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石家庄市藁城区应急管理局本级上年末固定资产金额为990.91万元（详见下表）。本年度拟购置固定资产总额为0.00万元，已按要求列入政府采购预算，详见政府采购预算表。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426001石家庄市藁城区应急管理局本级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990.91</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r>
              <w:t>14</w:t>
            </w:r>
          </w:p>
        </w:tc>
        <w:tc>
          <w:tcPr>
            <w:tcW w:w="2835" w:type="dxa"/>
            <w:tcBorders>
              <w:left w:val="single" w:sz="6" w:space="0" w:color="auto"/>
            </w:tcBorders>
            <w:vAlign w:val="center"/>
          </w:tcPr>
          <w:p>
            <w:pPr>
              <w:pStyle w:val="19"/>
            </w:pPr>
            <w:r>
              <w:t>426.68</w:t>
            </w: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r>
              <w:t>1</w:t>
            </w:r>
          </w:p>
        </w:tc>
        <w:tc>
          <w:tcPr>
            <w:tcW w:w="2835" w:type="dxa"/>
            <w:tcBorders>
              <w:left w:val="single" w:sz="6" w:space="0" w:color="auto"/>
            </w:tcBorders>
            <w:vAlign w:val="center"/>
          </w:tcPr>
          <w:p>
            <w:pPr>
              <w:pStyle w:val="19"/>
            </w:pPr>
            <w:r>
              <w:t>104.98</w:t>
            </w: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1471</w:t>
            </w:r>
          </w:p>
        </w:tc>
        <w:tc>
          <w:tcPr>
            <w:tcW w:w="2835" w:type="dxa"/>
            <w:tcBorders>
              <w:left w:val="single" w:sz="6" w:space="0" w:color="auto"/>
            </w:tcBorders>
            <w:vAlign w:val="center"/>
          </w:tcPr>
          <w:p>
            <w:pPr>
              <w:pStyle w:val="19"/>
            </w:pPr>
            <w:r>
              <w:t>459.25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yozoId="4094"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yozoId="4094"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yozoId="4094"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yozoId="4094"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yozoId="4094"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yozoId="4094"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yozoId="4094"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yozoId="4094"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yozoId="4094"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yozoId="4094"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yozoId="4094" w:styleId="30">
    <w:name w:val="TOC 4"/>
    <w:qFormat/>
    <w:basedOn w:val="0"/>
    <w:pPr>
      <w:ind w:left="720"/>
    </w:pPr>
  </w:style>
  <w:style w:type="paragraph" w:customStyle="1" w:yozoId="4094"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yozoId="4094" w:styleId="32">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3">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1B7C2DD-F5E2-40C6-BC76-65C7D49732E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Yozo_Office9.0.5727.102ZH.HE36</Application>
  <Pages>36</Pages>
  <Words>0</Words>
  <Characters>12426</Characters>
  <Lines>0</Lines>
  <Paragraphs>137</Paragraphs>
  <CharactersWithSpaces>16568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26656</cp:lastModifiedBy>
  <cp:revision>4</cp:revision>
  <dcterms:created xsi:type="dcterms:W3CDTF">2025-02-11T16:25:07Z</dcterms:created>
  <dcterms:modified xsi:type="dcterms:W3CDTF">2025-02-12T07:57:52Z</dcterms:modified>
</cp:coreProperties>
</file>